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34D" w:rsidRPr="001E1174" w:rsidRDefault="0079034D" w:rsidP="0079034D">
      <w:pPr>
        <w:pStyle w:val="a3"/>
        <w:tabs>
          <w:tab w:val="clear" w:pos="4677"/>
          <w:tab w:val="clear" w:pos="9355"/>
          <w:tab w:val="left" w:pos="1234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1E1174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9034D" w:rsidRPr="001E1174" w:rsidRDefault="0079034D" w:rsidP="0079034D">
      <w:pPr>
        <w:pStyle w:val="a3"/>
        <w:tabs>
          <w:tab w:val="clear" w:pos="4677"/>
          <w:tab w:val="clear" w:pos="9355"/>
          <w:tab w:val="left" w:pos="1234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1E1174">
        <w:rPr>
          <w:rFonts w:ascii="Times New Roman" w:hAnsi="Times New Roman" w:cs="Times New Roman"/>
          <w:sz w:val="24"/>
          <w:szCs w:val="24"/>
        </w:rPr>
        <w:t xml:space="preserve">к Распоряжению Комитета по охране </w:t>
      </w:r>
    </w:p>
    <w:p w:rsidR="0079034D" w:rsidRPr="001E1174" w:rsidRDefault="0079034D" w:rsidP="0079034D">
      <w:pPr>
        <w:pStyle w:val="a3"/>
        <w:tabs>
          <w:tab w:val="clear" w:pos="4677"/>
          <w:tab w:val="clear" w:pos="9355"/>
          <w:tab w:val="left" w:pos="1234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1E1174">
        <w:rPr>
          <w:rFonts w:ascii="Times New Roman" w:hAnsi="Times New Roman" w:cs="Times New Roman"/>
          <w:sz w:val="24"/>
          <w:szCs w:val="24"/>
        </w:rPr>
        <w:t xml:space="preserve">объектов культурного наследия </w:t>
      </w:r>
    </w:p>
    <w:p w:rsidR="0079034D" w:rsidRPr="001E1174" w:rsidRDefault="0079034D" w:rsidP="0079034D">
      <w:pPr>
        <w:pStyle w:val="a3"/>
        <w:tabs>
          <w:tab w:val="clear" w:pos="4677"/>
          <w:tab w:val="clear" w:pos="9355"/>
          <w:tab w:val="left" w:pos="1234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1E1174"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</w:p>
    <w:p w:rsidR="00824AF3" w:rsidRDefault="0079034D" w:rsidP="0079034D">
      <w:pPr>
        <w:pStyle w:val="a3"/>
        <w:tabs>
          <w:tab w:val="clear" w:pos="4677"/>
          <w:tab w:val="clear" w:pos="9355"/>
          <w:tab w:val="left" w:pos="1234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1E1174">
        <w:rPr>
          <w:rFonts w:ascii="Times New Roman" w:hAnsi="Times New Roman" w:cs="Times New Roman"/>
          <w:sz w:val="24"/>
          <w:szCs w:val="24"/>
        </w:rPr>
        <w:t>от 18.09.2018 № 0056/01-08</w:t>
      </w:r>
    </w:p>
    <w:p w:rsidR="0079034D" w:rsidRPr="001E1174" w:rsidRDefault="00824AF3" w:rsidP="0079034D">
      <w:pPr>
        <w:pStyle w:val="a3"/>
        <w:tabs>
          <w:tab w:val="clear" w:pos="4677"/>
          <w:tab w:val="clear" w:pos="9355"/>
          <w:tab w:val="left" w:pos="12345"/>
        </w:tabs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(в редакции распоряжения от 06.09.2021 № 0080/01-08)</w:t>
      </w:r>
    </w:p>
    <w:p w:rsidR="0079034D" w:rsidRPr="001E1174" w:rsidRDefault="0079034D" w:rsidP="0079034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9034D" w:rsidRPr="001E1174" w:rsidRDefault="0079034D" w:rsidP="0079034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9034D" w:rsidRPr="001E1174" w:rsidRDefault="0079034D" w:rsidP="0079034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E1174">
        <w:rPr>
          <w:rFonts w:ascii="Times New Roman" w:hAnsi="Times New Roman" w:cs="Times New Roman"/>
          <w:sz w:val="24"/>
          <w:szCs w:val="24"/>
        </w:rPr>
        <w:t xml:space="preserve">План мероприятий противодействия коррупции в Комитете по охране объектов культурного наследия Томской области </w:t>
      </w:r>
    </w:p>
    <w:p w:rsidR="0079034D" w:rsidRPr="001E1174" w:rsidRDefault="0079034D" w:rsidP="0079034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1E1174">
        <w:rPr>
          <w:rFonts w:ascii="Times New Roman" w:hAnsi="Times New Roman" w:cs="Times New Roman"/>
          <w:sz w:val="24"/>
          <w:szCs w:val="24"/>
        </w:rPr>
        <w:t>на 2018 – 2023 годы</w:t>
      </w:r>
    </w:p>
    <w:p w:rsidR="0079034D" w:rsidRPr="001E1174" w:rsidRDefault="0079034D" w:rsidP="0079034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5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71"/>
        <w:gridCol w:w="6562"/>
        <w:gridCol w:w="4084"/>
        <w:gridCol w:w="2999"/>
      </w:tblGrid>
      <w:tr w:rsidR="0079034D" w:rsidRPr="001E1174" w:rsidTr="00AD6C02">
        <w:tc>
          <w:tcPr>
            <w:tcW w:w="14850" w:type="dxa"/>
            <w:gridSpan w:val="5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Мониторинг антикоррупционного законодательства, принятие нормативных правовых актов Томской области, направленных на противодействие коррупции, в том числе приведение действующих нормативных правовых актов Комитета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8E1329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hAnsi="Times New Roman" w:cs="Times New Roman"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Проведение с соблюдением требований законодательства о государственной гражданской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служащими; лицами, </w:t>
            </w: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замещающими государственные должности; гражданами, претендующими на замещение указанных должностей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 наличии оснований для осуществления проверки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Проверка своевременности представления государственными гражданскими служащими Комитета сведений о доходах, расходах, об имуществе и обязательствах имущественного характера, информации о размещении сведений в информационно-телекоммуникационной сети "Интернет"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мере возникновения оснований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мере поступления сведений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оценки коррупционных рисков, возникающих при реализации государственными гражданскими служащими своих должностных обязанностей и внесение уточнений в перечни должностей государственной гражданской службы, замещение которых связано с коррупционными рисками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анализа эффективности деятельности комиссий по соблюдению требований к служебному поведению государственных служащих и урегулированию конфликта интересов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контроля за выполнением требований федеральных законов от 3 декабря 2012 года </w:t>
            </w:r>
            <w:hyperlink r:id="rId6" w:history="1">
              <w:r w:rsidRPr="001E117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lang w:eastAsia="ru-RU"/>
                </w:rPr>
                <w:t>N 230-ФЗ</w:t>
              </w:r>
            </w:hyperlink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"О контроле за соответствием расходов лиц, замещающих государственные должности, и иных лиц их доходам" и от 7 мая 2013 года </w:t>
            </w:r>
            <w:hyperlink r:id="rId7" w:history="1">
              <w:r w:rsidRPr="001E1174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lang w:eastAsia="ru-RU"/>
                </w:rPr>
                <w:t>N 79-ФЗ</w:t>
              </w:r>
            </w:hyperlink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Принятие мер по предупреждению коррупции в организации, подведомственной Комитету, проведение анализа соответствия мер, направленных на предупреждение коррупции в указанном учреждении, требованиям антикоррупционного законодательства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8E1329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8E1329" w:rsidRPr="001E1174" w:rsidRDefault="008E1329" w:rsidP="008E1329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8E1329" w:rsidRPr="001E1174" w:rsidRDefault="008E1329" w:rsidP="008E1329">
            <w:pPr>
              <w:tabs>
                <w:tab w:val="left" w:pos="960"/>
              </w:tabs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hAnsi="Times New Roman" w:cs="Times New Roman"/>
                <w:sz w:val="24"/>
                <w:szCs w:val="24"/>
              </w:rPr>
              <w:t>Проведение актуализации и анализа сведений, содержащихся в анкетах лиц, представляемых при назначении на государственные должности Комитета,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8E1329" w:rsidRPr="001E1174" w:rsidRDefault="008E1329" w:rsidP="008E1329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E1329" w:rsidRPr="001E1174" w:rsidRDefault="008E1329" w:rsidP="008E1329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8E1329" w:rsidRPr="001E1174" w:rsidRDefault="008E1329" w:rsidP="008E1329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8E1329" w:rsidRPr="001E1174" w:rsidRDefault="008E1329" w:rsidP="008E1329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</w:tc>
      </w:tr>
      <w:tr w:rsidR="0079034D" w:rsidRPr="001E1174" w:rsidTr="00AD6C02">
        <w:tc>
          <w:tcPr>
            <w:tcW w:w="14850" w:type="dxa"/>
            <w:gridSpan w:val="5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 Выявление и устранение коррупциогенных факторов в нормативных правовых актах Комитета и проектах нормативных правовых актов Комитета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Комитета и проектов нормативных правовых актов Комитета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антикоррупционной экспертизы нормативных правовых актов Комитета и их проектов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</w:tc>
      </w:tr>
      <w:tr w:rsidR="0079034D" w:rsidRPr="001E1174" w:rsidTr="00AD6C02">
        <w:tc>
          <w:tcPr>
            <w:tcW w:w="14850" w:type="dxa"/>
            <w:gridSpan w:val="5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Профессиональное развитие государственных гражданских служащих,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Российской Федерации по профилактике коррупционных и иных правонарушений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обучения по программам повышения квалификации государственных гражданских служащих с включением в образовательные программы дисциплин по антикоррупционной тематике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Издание и размещение в помещениях, занимаемых Комитетом, социальной рекламной продукции антикоррупционной направленности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4850" w:type="dxa"/>
            <w:gridSpan w:val="5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4. Обеспечение открытости, доступности для населения деятельности Комитета, укрепление его связи с гражданским обществом, стимулирование антикоррупционной активности общественности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услугах Томской области в федеральной государственной информационной системе "Федеральный реестр государственных и муниципальных услуг (функций)" в целях повышения доступности государственных и муниципальных услуг, предоставляемых Комитетом, и раскрытия информации о порядке оказания государственных, предоставляемых Комитетом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региональной инфраструктуры электронного правительства Томской области в целях организации оказания государственных услуг в электронной форме и обеспечения межведомственного электронного взаимодействия при предоставлении государственных услуг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формирования системы "Открытое правительство", разработка комплекса требований и рекомендаций по развитию инфраструктуры системы "Открытое правительство"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C90D0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Наполнение и поддержка актуальности материалов раздела "Противодействие коррупции" на официальном интернет-портале Комитета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работы:</w:t>
            </w:r>
          </w:p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1) телефонов доверия, горячих линий по вопросам противодействия коррупции;</w:t>
            </w:r>
          </w:p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2) интерактивных сервисов на официальном интернет-портале "Электронная Администрация Томской области" (www.tomsk.gov.ru), официальном сайте Комитета, позволяющих пользователям сообщать о фактах коррупции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Размещение на официальном интернет-портале "Электронная Администрация Томской области" (www.tomsk.gov.ru), официальном сайте Комитета,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4850" w:type="dxa"/>
            <w:gridSpan w:val="5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 Повышение эффективности противодействия коррупции при осуществлении закупок товаров, работ, услуг для обеспечения государственных нужд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Реализация мер, способствующих снижению уровня коррупции при осуществлении закупок товаров, работ, услуг для государственных и муниципальных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Осуществление анализа соблюдения антикоррупционного законодательства в ходе проведения контроля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4850" w:type="dxa"/>
            <w:gridSpan w:val="5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 Повышение эффективности взаимодействия Комитета с правоохранительными органами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осуществления проверок соблюдения законодательства при реализации приоритетных проектов и государственных программ на предмет выявления коррупционных правонарушений в порядке, установленном законодательством Российской Федерации и в рамках имеющихся полномочий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 результатах работы по борьбе с коррупционными преступлениями на основе аналитических материалов по категориям выявленных преступлений, отраслям, подверженным коррупции, структуре должностных лиц, привлеченных к уголовной ответственности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79034D" w:rsidRPr="001E1174" w:rsidRDefault="0079034D" w:rsidP="00B26E88">
            <w:pPr>
              <w:spacing w:before="60"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79034D" w:rsidRPr="001E1174" w:rsidTr="00AD6C02">
        <w:tc>
          <w:tcPr>
            <w:tcW w:w="14850" w:type="dxa"/>
            <w:gridSpan w:val="5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 Стимулирование антикоррупционного поведения государственных гражданских Комитета</w:t>
            </w:r>
          </w:p>
        </w:tc>
      </w:tr>
      <w:tr w:rsidR="0079034D" w:rsidRPr="001E1174" w:rsidTr="00AD6C02">
        <w:tc>
          <w:tcPr>
            <w:tcW w:w="1205" w:type="dxa"/>
            <w:gridSpan w:val="2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  <w:r w:rsidR="00C90D0D"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62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Разработка комплекса мер, направленных на повышение престижа государственной гражданской службы, с учетом положительного регионального и международного опыта в сфере противодействия коррупции, доведение соответствующей информации до сведения государственных органов</w:t>
            </w:r>
          </w:p>
        </w:tc>
        <w:tc>
          <w:tcPr>
            <w:tcW w:w="408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79034D" w:rsidRPr="001E1174" w:rsidRDefault="0079034D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2018 - 2023 гг.</w:t>
            </w:r>
          </w:p>
        </w:tc>
      </w:tr>
      <w:tr w:rsidR="001E1174" w:rsidRPr="001E1174" w:rsidTr="00A37DCD">
        <w:tc>
          <w:tcPr>
            <w:tcW w:w="14850" w:type="dxa"/>
            <w:gridSpan w:val="5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E1174" w:rsidRPr="001E1174" w:rsidRDefault="001E1174" w:rsidP="00B26E88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8. </w:t>
            </w:r>
            <w:r w:rsidRPr="001E1174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образовательных и иных мероприятий, направленных на антикоррупционное просвещение и популяризацию в обществе антикоррупционных стандартов</w:t>
            </w:r>
          </w:p>
        </w:tc>
      </w:tr>
      <w:tr w:rsidR="001E1174" w:rsidRPr="001E1174" w:rsidTr="001E1174">
        <w:tc>
          <w:tcPr>
            <w:tcW w:w="1134" w:type="dxa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1E1174" w:rsidRPr="001E1174" w:rsidRDefault="001E1174" w:rsidP="001E1174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6633" w:type="dxa"/>
            <w:gridSpan w:val="2"/>
            <w:shd w:val="clear" w:color="auto" w:fill="FFFFFF"/>
          </w:tcPr>
          <w:p w:rsidR="001E1174" w:rsidRPr="001E1174" w:rsidRDefault="001E1174" w:rsidP="001E1174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hAnsi="Times New Roman" w:cs="Times New Roman"/>
                <w:sz w:val="24"/>
                <w:szCs w:val="24"/>
              </w:rPr>
              <w:t>Участие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4084" w:type="dxa"/>
            <w:shd w:val="clear" w:color="auto" w:fill="FFFFFF"/>
          </w:tcPr>
          <w:p w:rsidR="001E1174" w:rsidRPr="001E1174" w:rsidRDefault="001E1174" w:rsidP="001E1174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2999" w:type="dxa"/>
            <w:shd w:val="clear" w:color="auto" w:fill="FFFFFF"/>
          </w:tcPr>
          <w:p w:rsidR="001E1174" w:rsidRPr="001E1174" w:rsidRDefault="001E1174" w:rsidP="001E1174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  <w:r w:rsidRPr="001E11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- 2023 гг.</w:t>
            </w:r>
          </w:p>
        </w:tc>
      </w:tr>
    </w:tbl>
    <w:p w:rsidR="0079034D" w:rsidRPr="001E1174" w:rsidRDefault="0079034D" w:rsidP="0079034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E1174" w:rsidRPr="001E1174" w:rsidRDefault="001E1174">
      <w:pPr>
        <w:rPr>
          <w:rFonts w:ascii="Times New Roman" w:hAnsi="Times New Roman" w:cs="Times New Roman"/>
          <w:sz w:val="24"/>
          <w:szCs w:val="24"/>
        </w:rPr>
      </w:pPr>
    </w:p>
    <w:sectPr w:rsidR="001E1174" w:rsidRPr="001E1174" w:rsidSect="0079034D">
      <w:pgSz w:w="16838" w:h="11906" w:orient="landscape"/>
      <w:pgMar w:top="1292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89C" w:rsidRDefault="00A9089C" w:rsidP="0079034D">
      <w:pPr>
        <w:spacing w:after="0" w:line="240" w:lineRule="auto"/>
      </w:pPr>
      <w:r>
        <w:separator/>
      </w:r>
    </w:p>
  </w:endnote>
  <w:endnote w:type="continuationSeparator" w:id="0">
    <w:p w:rsidR="00A9089C" w:rsidRDefault="00A9089C" w:rsidP="00790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altName w:val="Sylfaen"/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89C" w:rsidRDefault="00A9089C" w:rsidP="0079034D">
      <w:pPr>
        <w:spacing w:after="0" w:line="240" w:lineRule="auto"/>
      </w:pPr>
      <w:r>
        <w:separator/>
      </w:r>
    </w:p>
  </w:footnote>
  <w:footnote w:type="continuationSeparator" w:id="0">
    <w:p w:rsidR="00A9089C" w:rsidRDefault="00A9089C" w:rsidP="00790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34D"/>
    <w:rsid w:val="001E1174"/>
    <w:rsid w:val="00282A8F"/>
    <w:rsid w:val="00603204"/>
    <w:rsid w:val="0079034D"/>
    <w:rsid w:val="00824AF3"/>
    <w:rsid w:val="008A42C5"/>
    <w:rsid w:val="008E1329"/>
    <w:rsid w:val="00A9089C"/>
    <w:rsid w:val="00AD6C02"/>
    <w:rsid w:val="00C90D0D"/>
    <w:rsid w:val="00EF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64FEFB-ECFF-40D3-81F9-9A7A519C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034D"/>
  </w:style>
  <w:style w:type="paragraph" w:styleId="a5">
    <w:name w:val="footer"/>
    <w:basedOn w:val="a"/>
    <w:link w:val="a6"/>
    <w:uiPriority w:val="99"/>
    <w:unhideWhenUsed/>
    <w:rsid w:val="00790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034D"/>
  </w:style>
  <w:style w:type="paragraph" w:styleId="a7">
    <w:name w:val="Balloon Text"/>
    <w:basedOn w:val="a"/>
    <w:link w:val="a8"/>
    <w:uiPriority w:val="99"/>
    <w:semiHidden/>
    <w:unhideWhenUsed/>
    <w:rsid w:val="00AD6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D6C0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E1174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12595C11FDF370B93ECEEBDCFD28AC20E38BD7B57989EEFFA163E59A7UF16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12595C11FDF370B93ECEEBDCFD28AC20D31B578549A9EEFFA163E59A7UF16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1834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Бугаева Татьяна Генадьевна</dc:creator>
  <cp:keywords/>
  <dc:description/>
  <cp:lastModifiedBy>Елена Ярославцева</cp:lastModifiedBy>
  <cp:revision>3</cp:revision>
  <cp:lastPrinted>2018-09-25T08:23:00Z</cp:lastPrinted>
  <dcterms:created xsi:type="dcterms:W3CDTF">2021-09-07T03:59:00Z</dcterms:created>
  <dcterms:modified xsi:type="dcterms:W3CDTF">2021-09-07T04:06:00Z</dcterms:modified>
</cp:coreProperties>
</file>