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W w:w="3119" w:type="dxa"/>
            <w:vAlign w:val="center"/>
            <w:textDirection w:val="lrTb"/>
            <w:noWrap w:val="false"/>
          </w:tcPr>
          <w:p>
            <w:pPr>
              <w:pStyle w:val="101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04.03.2022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fldChar w:fldCharType="begin"/>
            </w:r>
            <w:r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101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1013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0031/01-07</w:t>
            </w:r>
            <w:r/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pStyle w:val="102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 утверждении </w:t>
            </w:r>
            <w:r>
              <w:rPr>
                <w:sz w:val="26"/>
                <w:szCs w:val="26"/>
              </w:rPr>
              <w:t xml:space="preserve">В</w:t>
            </w:r>
            <w:r>
              <w:rPr>
                <w:sz w:val="26"/>
                <w:szCs w:val="26"/>
              </w:rPr>
              <w:t xml:space="preserve">едомственной целевой программы</w:t>
            </w:r>
            <w:r/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«Сохранение, использование, популяризация объектов культурного наследия (памятников истории и культуры), расположенных на территории</w:t>
            </w:r>
            <w:r/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Томской области» </w:t>
            </w:r>
            <w:r/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pStyle w:val="1022"/>
        <w:rPr>
          <w:sz w:val="26"/>
          <w:szCs w:val="26"/>
        </w:rPr>
      </w:pPr>
      <w:r/>
      <w:bookmarkStart w:id="0" w:name="ТекстовоеПоле2"/>
      <w:r/>
      <w:r/>
    </w:p>
    <w:p>
      <w:pPr>
        <w:pStyle w:val="1043"/>
        <w:ind w:firstLine="709"/>
        <w:jc w:val="both"/>
        <w:widowControl/>
        <w:tabs>
          <w:tab w:val="left" w:pos="567" w:leader="none"/>
          <w:tab w:val="left" w:pos="1134" w:leader="none"/>
        </w:tabs>
        <w:rPr>
          <w:rFonts w:ascii="Times New Roman" w:hAnsi="Times New Roman"/>
          <w:b w:val="false"/>
          <w:sz w:val="26"/>
          <w:szCs w:val="26"/>
        </w:rPr>
      </w:pPr>
      <w:r>
        <w:rPr>
          <w:rFonts w:ascii="Times New Roman" w:hAnsi="Times New Roman"/>
          <w:b w:val="false"/>
          <w:sz w:val="26"/>
          <w:szCs w:val="26"/>
        </w:rPr>
        <w:t xml:space="preserve">В соответствии с </w:t>
      </w:r>
      <w:r>
        <w:rPr>
          <w:rFonts w:ascii="Times New Roman" w:hAnsi="Times New Roman"/>
          <w:b w:val="false"/>
          <w:sz w:val="26"/>
          <w:szCs w:val="26"/>
        </w:rPr>
        <w:t xml:space="preserve">постановлени</w:t>
      </w:r>
      <w:r>
        <w:rPr>
          <w:rFonts w:ascii="Times New Roman" w:hAnsi="Times New Roman"/>
          <w:b w:val="false"/>
          <w:sz w:val="26"/>
          <w:szCs w:val="26"/>
        </w:rPr>
        <w:t xml:space="preserve">ем</w:t>
      </w:r>
      <w:r>
        <w:rPr>
          <w:rFonts w:ascii="Times New Roman" w:hAnsi="Times New Roman"/>
          <w:b w:val="false"/>
          <w:sz w:val="26"/>
          <w:szCs w:val="26"/>
        </w:rPr>
        <w:t xml:space="preserve"> Администрации Томской области от 29.06.2016 № 219а «Об утверждении порядка разработки, утверждения и реализации ведомственных целевых программ Томской области»</w:t>
      </w:r>
      <w:r/>
    </w:p>
    <w:p>
      <w:pPr>
        <w:pStyle w:val="1043"/>
        <w:ind w:firstLine="709"/>
        <w:jc w:val="both"/>
        <w:widowControl/>
        <w:tabs>
          <w:tab w:val="left" w:pos="567" w:leader="none"/>
          <w:tab w:val="left" w:pos="1134" w:leader="none"/>
        </w:tabs>
        <w:rPr>
          <w:rFonts w:ascii="Times New Roman" w:hAnsi="Times New Roman"/>
          <w:b w:val="false"/>
          <w:sz w:val="26"/>
          <w:szCs w:val="26"/>
        </w:rPr>
      </w:pPr>
      <w:r>
        <w:rPr>
          <w:rFonts w:ascii="Times New Roman" w:hAnsi="Times New Roman"/>
          <w:b w:val="false"/>
          <w:sz w:val="26"/>
          <w:szCs w:val="26"/>
        </w:rPr>
        <w:t xml:space="preserve">ПРИКАЗЫВАЮ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Утвердить прилагаемую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В</w:t>
      </w:r>
      <w:r>
        <w:rPr>
          <w:sz w:val="26"/>
          <w:szCs w:val="26"/>
        </w:rPr>
        <w:t xml:space="preserve">едомственную целевую программу «Сохранение, использование, популяризация объектов культурного наследия (памятников истории и культуры), расположенных на территории Томской области».</w:t>
      </w:r>
      <w:r/>
    </w:p>
    <w:p>
      <w:pPr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</w:t>
      </w:r>
      <w:r>
        <w:rPr>
          <w:sz w:val="26"/>
          <w:szCs w:val="26"/>
        </w:rPr>
        <w:t xml:space="preserve">. Контроль за исполнением настоящего </w:t>
      </w:r>
      <w:r>
        <w:rPr>
          <w:sz w:val="26"/>
          <w:szCs w:val="26"/>
        </w:rPr>
        <w:t xml:space="preserve">приказа</w:t>
      </w:r>
      <w:r>
        <w:rPr>
          <w:sz w:val="26"/>
          <w:szCs w:val="26"/>
        </w:rPr>
        <w:t xml:space="preserve"> возложить на председателя Комитета</w:t>
      </w:r>
      <w:r>
        <w:rPr>
          <w:sz w:val="26"/>
          <w:szCs w:val="26"/>
        </w:rPr>
        <w:t xml:space="preserve"> по охране объектов культурного наследия Томской области</w:t>
      </w:r>
      <w:r>
        <w:rPr>
          <w:sz w:val="26"/>
          <w:szCs w:val="26"/>
        </w:rPr>
        <w:t xml:space="preserve">.</w:t>
      </w:r>
      <w:r/>
    </w:p>
    <w:p>
      <w:pPr>
        <w:ind w:firstLine="720"/>
        <w:rPr>
          <w:sz w:val="26"/>
          <w:szCs w:val="26"/>
        </w:rPr>
      </w:pPr>
      <w:r>
        <w:rPr>
          <w:sz w:val="26"/>
          <w:szCs w:val="26"/>
        </w:rPr>
      </w:r>
      <w:bookmarkEnd w:id="0"/>
      <w:r/>
      <w:r/>
    </w:p>
    <w:tbl>
      <w:tblPr>
        <w:tblStyle w:val="1032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t xml:space="preserve">П</w:t>
            </w:r>
            <w:r>
              <w:rPr>
                <w:sz w:val="26"/>
                <w:szCs w:val="26"/>
              </w:rPr>
              <w:t xml:space="preserve">редседател</w:t>
            </w:r>
            <w:r>
              <w:rPr>
                <w:sz w:val="26"/>
                <w:szCs w:val="26"/>
              </w:rPr>
              <w:t xml:space="preserve">ь</w:t>
            </w:r>
            <w:r>
              <w:rPr>
                <w:sz w:val="26"/>
                <w:szCs w:val="26"/>
              </w:rPr>
              <w:t xml:space="preserve"> Комитета</w:t>
            </w:r>
            <w:r>
              <w:rPr>
                <w:sz w:val="26"/>
                <w:szCs w:val="26"/>
              </w:rPr>
            </w:r>
            <w:r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</w:rPr>
            </w:r>
            <w:r>
              <w:rPr>
                <w:sz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</w:rPr>
            </w:r>
            <w:r>
              <w:rPr>
                <w:sz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none"/>
              </w:rPr>
            </w:r>
            <w:r>
              <w:rPr>
                <w:sz w:val="26"/>
                <w:szCs w:val="26"/>
                <w:highlight w:val="none"/>
              </w:rPr>
            </w:r>
            <w:r/>
          </w:p>
          <w:p>
            <w:pPr>
              <w:jc w:val="right"/>
              <w:rPr>
                <w:sz w:val="26"/>
                <w:szCs w:val="26"/>
                <w:highlight w:val="none"/>
              </w:rPr>
            </w:pPr>
            <w:r>
              <w:rPr>
                <w:sz w:val="26"/>
              </w:rPr>
            </w:r>
            <w:r>
              <w:rPr>
                <w:sz w:val="26"/>
                <w:szCs w:val="26"/>
              </w:rPr>
              <w:t xml:space="preserve">Е.В.Перетягина</w:t>
            </w:r>
            <w:r>
              <w:rPr>
                <w:sz w:val="26"/>
              </w:rPr>
            </w:r>
            <w:r/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sectPr>
          <w:headerReference w:type="default" r:id="rId9"/>
          <w:headerReference w:type="first" r:id="rId10"/>
          <w:footerReference w:type="even" r:id="rId16"/>
          <w:footnotePr/>
          <w:endnotePr/>
          <w:type w:val="nextColumn"/>
          <w:pgSz w:w="11907" w:h="16840" w:orient="portrait"/>
          <w:pgMar w:top="1134" w:right="851" w:bottom="1134" w:left="1701" w:header="567" w:footer="272" w:gutter="0"/>
          <w:cols w:num="1" w:sep="0" w:space="720" w:equalWidth="1"/>
          <w:docGrid w:linePitch="360"/>
          <w:titlePg/>
        </w:sectPr>
      </w:pPr>
      <w:r>
        <w:t xml:space="preserve">Ярославцева Е.Е.</w:t>
      </w:r>
      <w:r/>
    </w:p>
    <w:p>
      <w:pPr>
        <w:ind w:left="552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УТВЕРЖДЕНА</w:t>
      </w:r>
      <w:r/>
    </w:p>
    <w:p>
      <w:pPr>
        <w:ind w:left="552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приказ</w:t>
      </w:r>
      <w:r>
        <w:rPr>
          <w:sz w:val="26"/>
          <w:szCs w:val="26"/>
        </w:rPr>
        <w:t xml:space="preserve">ом</w:t>
      </w:r>
      <w:r>
        <w:rPr>
          <w:sz w:val="26"/>
          <w:szCs w:val="26"/>
        </w:rPr>
        <w:t xml:space="preserve"> Комитета по охране объектов культурного наследия Томской области </w:t>
      </w:r>
      <w:r/>
    </w:p>
    <w:p>
      <w:pPr>
        <w:ind w:left="5529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 </w:t>
      </w:r>
      <w:r>
        <w:rPr>
          <w:sz w:val="26"/>
          <w:szCs w:val="26"/>
          <w:u w:val="single"/>
        </w:rPr>
        <w:t xml:space="preserve">04.03.2022 </w:t>
      </w:r>
      <w:r>
        <w:rPr>
          <w:sz w:val="26"/>
          <w:szCs w:val="26"/>
        </w:rPr>
        <w:t xml:space="preserve"> №  </w:t>
      </w:r>
      <w:r>
        <w:rPr>
          <w:sz w:val="26"/>
          <w:szCs w:val="26"/>
          <w:u w:val="single"/>
        </w:rPr>
        <w:t xml:space="preserve">0031/01-07</w:t>
      </w:r>
      <w:r>
        <w:rPr>
          <w:u w:val="single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Ведомственная целевая программа Томской области</w:t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«Сохранение, использование, популяризация объектов культурного наследия (памятников истории и культуры), расположенных </w:t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 территории Томской области»</w:t>
      </w:r>
      <w:r>
        <w:rPr>
          <w:sz w:val="26"/>
          <w:szCs w:val="26"/>
        </w:rPr>
        <w:t xml:space="preserve"> </w:t>
      </w:r>
      <w:r/>
    </w:p>
    <w:p>
      <w:pPr>
        <w:ind w:left="482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  <w:outlineLvl w:val="0"/>
      </w:pPr>
      <w:r>
        <w:rPr>
          <w:sz w:val="26"/>
          <w:szCs w:val="26"/>
        </w:rPr>
        <w:t xml:space="preserve">Паспорт ведомственной целевой программы Томской области</w:t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W w:w="935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397"/>
        <w:gridCol w:w="1417"/>
        <w:gridCol w:w="1560"/>
        <w:gridCol w:w="1365"/>
        <w:gridCol w:w="1612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субъекта бюджетного планирования (далее </w:t>
            </w:r>
            <w:r>
              <w:rPr>
                <w:sz w:val="26"/>
                <w:szCs w:val="26"/>
              </w:rPr>
              <w:t xml:space="preserve">–</w:t>
            </w:r>
            <w:r>
              <w:rPr>
                <w:sz w:val="26"/>
                <w:szCs w:val="26"/>
              </w:rPr>
              <w:t xml:space="preserve"> СБП)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Комитет по охране объектов культурного наследия Томской области</w:t>
            </w:r>
            <w:r>
              <w:rPr>
                <w:sz w:val="26"/>
                <w:szCs w:val="26"/>
              </w:rPr>
              <w:t xml:space="preserve"> 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Тип ведомственной целевой программы Томской области (далее </w:t>
            </w:r>
            <w:r>
              <w:rPr>
                <w:sz w:val="26"/>
                <w:szCs w:val="26"/>
              </w:rPr>
              <w:t xml:space="preserve">–</w:t>
            </w:r>
            <w:r>
              <w:rPr>
                <w:sz w:val="26"/>
                <w:szCs w:val="26"/>
              </w:rPr>
              <w:t xml:space="preserve"> ВЦП)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тип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«Развитие культуры </w:t>
            </w:r>
            <w:r>
              <w:rPr>
                <w:sz w:val="26"/>
                <w:szCs w:val="26"/>
              </w:rPr>
              <w:t xml:space="preserve">в</w:t>
            </w:r>
            <w:r>
              <w:rPr>
                <w:sz w:val="26"/>
                <w:szCs w:val="26"/>
              </w:rPr>
              <w:t xml:space="preserve"> Томской области»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подпрограммы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«Развитие культуры и архивного дела в Томской области»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Цель ВЦП (задача подпрограммы)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Задача СБП согласно положению о СБП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Государственная охрана объектов культурного наследия (памятников истории и культуры)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(задачи СБП)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2022 </w:t>
            </w:r>
            <w:r>
              <w:rPr>
                <w:sz w:val="26"/>
                <w:szCs w:val="26"/>
              </w:rPr>
              <w:t xml:space="preserve">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2023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2024 </w:t>
            </w:r>
            <w:r>
              <w:rPr>
                <w:sz w:val="26"/>
                <w:szCs w:val="26"/>
              </w:rPr>
              <w:t xml:space="preserve">год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none"/>
              </w:rPr>
            </w:r>
            <w:r>
              <w:rPr>
                <w:sz w:val="26"/>
                <w:szCs w:val="26"/>
                <w:highlight w:val="none"/>
              </w:rPr>
            </w:r>
            <w:r/>
          </w:p>
          <w:p>
            <w:pPr>
              <w:rPr>
                <w:sz w:val="26"/>
                <w:szCs w:val="26"/>
                <w:highlight w:val="none"/>
              </w:rPr>
            </w:pPr>
            <w:r>
              <w:rPr>
                <w:sz w:val="26"/>
                <w:szCs w:val="26"/>
                <w:highlight w:val="none"/>
              </w:rPr>
            </w:r>
            <w:r>
              <w:rPr>
                <w:sz w:val="26"/>
                <w:szCs w:val="26"/>
                <w:highlight w:val="none"/>
              </w:rPr>
            </w:r>
            <w:r/>
          </w:p>
          <w:p>
            <w:pPr>
              <w:rPr>
                <w:sz w:val="26"/>
                <w:szCs w:val="26"/>
                <w:highlight w:val="none"/>
              </w:rPr>
            </w:pPr>
            <w:r>
              <w:rPr>
                <w:sz w:val="26"/>
                <w:szCs w:val="26"/>
              </w:rPr>
              <w:t xml:space="preserve">Доля объектов культурного наследия, по которым </w:t>
            </w:r>
            <w:r>
              <w:rPr>
                <w:sz w:val="26"/>
                <w:szCs w:val="26"/>
                <w:highlight w:val="none"/>
              </w:rPr>
            </w:r>
            <w:r/>
          </w:p>
          <w:p>
            <w:pPr>
              <w:rPr>
                <w:sz w:val="26"/>
                <w:szCs w:val="26"/>
                <w:highlight w:val="none"/>
              </w:rPr>
            </w:pPr>
            <w:r>
              <w:rPr>
                <w:sz w:val="26"/>
                <w:szCs w:val="26"/>
                <w:highlight w:val="none"/>
              </w:rPr>
            </w:r>
            <w:r>
              <w:rPr>
                <w:sz w:val="26"/>
                <w:szCs w:val="26"/>
                <w:highlight w:val="none"/>
              </w:rPr>
            </w:r>
            <w:r/>
          </w:p>
          <w:p>
            <w:pPr>
              <w:rPr>
                <w:sz w:val="26"/>
                <w:szCs w:val="26"/>
                <w:highlight w:val="none"/>
              </w:rPr>
            </w:pPr>
            <w:r>
              <w:rPr>
                <w:sz w:val="26"/>
                <w:szCs w:val="26"/>
                <w:highlight w:val="none"/>
              </w:rPr>
            </w:r>
            <w:r>
              <w:rPr>
                <w:sz w:val="26"/>
                <w:szCs w:val="26"/>
                <w:highlight w:val="none"/>
              </w:rPr>
            </w:r>
            <w:r/>
          </w:p>
          <w:p>
            <w:pPr>
              <w:rPr>
                <w:sz w:val="26"/>
                <w:szCs w:val="26"/>
                <w:highlight w:val="none"/>
              </w:rPr>
            </w:pPr>
            <w:r>
              <w:rPr>
                <w:sz w:val="26"/>
                <w:szCs w:val="26"/>
              </w:rPr>
              <w:t xml:space="preserve">подготовлены и направлены в Министерство культуры Российской Федерации пакеты докум</w:t>
            </w:r>
            <w:r>
              <w:rPr>
                <w:sz w:val="26"/>
                <w:szCs w:val="26"/>
              </w:rPr>
              <w:t xml:space="preserve">ентов для внесения информации в </w:t>
            </w:r>
            <w:r>
              <w:rPr>
                <w:sz w:val="26"/>
                <w:szCs w:val="26"/>
              </w:rPr>
              <w:t xml:space="preserve">электронную базу Единого государственного реестра объектов культурного наследия, в общем количестве объектов культурного наследия Томской области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процент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64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66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68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Срок реализации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vAlign w:val="center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ВЦП носит постоянный характер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Объем расходов областного бюджета на реализацию ВЦП</w:t>
            </w:r>
            <w:r/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34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Коды классификации расходов бюджетов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Сумма </w:t>
            </w:r>
            <w:r/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(тыс. 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раздел, подраздел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целевая статья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вид расходов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2022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0801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1016203070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101500,7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101500,7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2023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0801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1016203070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11500,7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11500,7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2024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0801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1016203070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11500,7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11500,7</w:t>
            </w:r>
            <w:r/>
          </w:p>
        </w:tc>
      </w:tr>
    </w:tbl>
    <w:p>
      <w:pPr>
        <w:ind w:left="482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1. Характеристика цели ВЦП и направления работ по ее достижению</w:t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федеральным </w:t>
      </w:r>
      <w:r>
        <w:rPr>
          <w:sz w:val="26"/>
          <w:szCs w:val="26"/>
        </w:rPr>
        <w:t xml:space="preserve">законодательством полномочия по </w:t>
      </w:r>
      <w:r>
        <w:rPr>
          <w:sz w:val="26"/>
          <w:szCs w:val="26"/>
        </w:rPr>
        <w:t xml:space="preserve">выявлению и учету о</w:t>
      </w:r>
      <w:r>
        <w:rPr>
          <w:sz w:val="26"/>
          <w:szCs w:val="26"/>
        </w:rPr>
        <w:t xml:space="preserve">бъектов культурного наследия (далее – ОКН) переданы государственным органам охраны объектов культурного наследия на территории субъектов Российской Федерации. На начало 2021 года на территории Томской области зарегистрировано 816 объектов культурного насле</w:t>
      </w:r>
      <w:r>
        <w:rPr>
          <w:sz w:val="26"/>
          <w:szCs w:val="26"/>
        </w:rPr>
        <w:t xml:space="preserve">дия, из которых 339 являются памятниками истории и культуры федерального значения и 477 регионального значения. Для обеспечения сохранности ОКН на территории Томской области прослеживается острая необходимость проведения работ по выявлению и учету объектов</w:t>
      </w:r>
      <w:r>
        <w:rPr>
          <w:sz w:val="26"/>
          <w:szCs w:val="26"/>
        </w:rPr>
        <w:t xml:space="preserve"> культурного наследия, а также</w:t>
      </w:r>
      <w:r>
        <w:rPr>
          <w:sz w:val="26"/>
          <w:szCs w:val="26"/>
        </w:rPr>
        <w:t xml:space="preserve"> работ по их сохранению.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настоящее время в Томской области актуальными являются следующие вопросы в сфере государственной охраны объектов культурного наследия: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ухудшение технического состояния ОКН;</w:t>
      </w:r>
      <w:r/>
    </w:p>
    <w:p>
      <w:pPr>
        <w:ind w:firstLine="709"/>
        <w:jc w:val="both"/>
        <w:rPr>
          <w:sz w:val="26"/>
          <w:szCs w:val="26"/>
          <w:highlight w:val="none"/>
        </w:rPr>
      </w:pPr>
      <w:r>
        <w:rPr>
          <w:sz w:val="26"/>
          <w:szCs w:val="26"/>
        </w:rPr>
        <w:t xml:space="preserve">наличие рисков физической утраты ОКН;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наличие потребности в создании организационных и материальных условий для изучения культурного наследия Томской области – объектов культурного наследия и объектов, не имеющ</w:t>
      </w:r>
      <w:r>
        <w:rPr>
          <w:sz w:val="26"/>
          <w:szCs w:val="26"/>
        </w:rPr>
        <w:t xml:space="preserve">их статуса памятников истории и </w:t>
      </w:r>
      <w:r>
        <w:rPr>
          <w:sz w:val="26"/>
          <w:szCs w:val="26"/>
        </w:rPr>
        <w:t xml:space="preserve">культуры, но имеющих признаки ОКН.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Основными направлениями работ в данной сфере являются создание условий для эффективной работы по обеспечению физической сохранности объектов культурного наследия Томской области, обеспечение выявления и учета объектов культурного наследия. 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Ожидаемы</w:t>
      </w:r>
      <w:r>
        <w:rPr>
          <w:sz w:val="26"/>
          <w:szCs w:val="26"/>
        </w:rPr>
        <w:t xml:space="preserve">ми</w:t>
      </w:r>
      <w:r>
        <w:rPr>
          <w:sz w:val="26"/>
          <w:szCs w:val="26"/>
        </w:rPr>
        <w:t xml:space="preserve"> результат</w:t>
      </w:r>
      <w:r>
        <w:rPr>
          <w:sz w:val="26"/>
          <w:szCs w:val="26"/>
        </w:rPr>
        <w:t xml:space="preserve">ами</w:t>
      </w:r>
      <w:r>
        <w:rPr>
          <w:sz w:val="26"/>
          <w:szCs w:val="26"/>
        </w:rPr>
        <w:t xml:space="preserve"> реализации ВЦП</w:t>
      </w:r>
      <w:r>
        <w:rPr>
          <w:sz w:val="26"/>
          <w:szCs w:val="26"/>
        </w:rPr>
        <w:t xml:space="preserve"> являются</w:t>
      </w:r>
      <w:r>
        <w:rPr>
          <w:sz w:val="26"/>
          <w:szCs w:val="26"/>
        </w:rPr>
        <w:t xml:space="preserve">: 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повышение эффективности использования объектов культурного наследия Томской области;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ежегодное увеличение доли объектов, по которым подготовлены и направлены документы для регистрации в Едином государственном </w:t>
      </w:r>
      <w:r>
        <w:rPr>
          <w:sz w:val="26"/>
          <w:szCs w:val="26"/>
        </w:rPr>
        <w:t xml:space="preserve">реестре</w:t>
      </w:r>
      <w:r>
        <w:rPr>
          <w:sz w:val="26"/>
          <w:szCs w:val="26"/>
        </w:rPr>
        <w:t xml:space="preserve"> объектов культурного наследия</w:t>
      </w:r>
      <w:r>
        <w:rPr>
          <w:sz w:val="26"/>
          <w:szCs w:val="26"/>
        </w:rPr>
        <w:t xml:space="preserve"> (памятников истории и культуры) народов Российской Федерации</w:t>
      </w:r>
      <w:r>
        <w:rPr>
          <w:sz w:val="26"/>
          <w:szCs w:val="26"/>
        </w:rPr>
        <w:t xml:space="preserve">;</w:t>
      </w:r>
      <w:r/>
    </w:p>
    <w:p>
      <w:pPr>
        <w:ind w:firstLine="709"/>
        <w:jc w:val="both"/>
        <w:rPr>
          <w:sz w:val="26"/>
          <w:szCs w:val="26"/>
        </w:rPr>
      </w:pPr>
      <w:r/>
      <w:bookmarkStart w:id="1" w:name="_GoBack"/>
      <w:r/>
      <w:bookmarkEnd w:id="1"/>
      <w:r>
        <w:rPr>
          <w:sz w:val="26"/>
          <w:szCs w:val="26"/>
        </w:rPr>
        <w:t xml:space="preserve">увеличение доли объектов культурного наследия, находящихся в удовлетворительном состоянии.</w:t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  <w:sectPr>
          <w:headerReference w:type="default" r:id="rId11"/>
          <w:headerReference w:type="even" r:id="rId12"/>
          <w:headerReference w:type="first" r:id="rId13"/>
          <w:footnotePr/>
          <w:endnotePr/>
          <w:type w:val="nextPage"/>
          <w:pgSz w:w="11907" w:h="16840" w:orient="portrait"/>
          <w:pgMar w:top="1134" w:right="851" w:bottom="1134" w:left="1701" w:header="567" w:footer="272" w:gutter="0"/>
          <w:pgNumType w:start="2"/>
          <w:cols w:num="1" w:sep="0" w:space="720" w:equalWidth="1"/>
          <w:docGrid w:linePitch="360"/>
        </w:sect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2. Описание методик расчета показателей</w:t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непосредственного результата (мероприятий ВЦП)</w:t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Style w:val="1032"/>
        <w:tblW w:w="14737" w:type="dxa"/>
        <w:tblLayout w:type="fixed"/>
        <w:tblLook w:val="04A0" w:firstRow="1" w:lastRow="0" w:firstColumn="1" w:lastColumn="0" w:noHBand="0" w:noVBand="1"/>
      </w:tblPr>
      <w:tblGrid>
        <w:gridCol w:w="3227"/>
        <w:gridCol w:w="1499"/>
        <w:gridCol w:w="3604"/>
        <w:gridCol w:w="3626"/>
        <w:gridCol w:w="2781"/>
      </w:tblGrid>
      <w:tr>
        <w:trPr/>
        <w:tc>
          <w:tcPr>
            <w:tcW w:w="3227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показателя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Единица измерения показателя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Положительная динамика в течение финансового года (рост/снижение/стабильность)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Методика расчета показателя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Исходная информация для расчета показателя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</w:rPr>
              <w:t xml:space="preserve">Количество государственных услуг (работ), выполненных в полном объеме (мероприятие № 1)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</w:t>
            </w:r>
            <w:r>
              <w:rPr>
                <w:sz w:val="26"/>
                <w:szCs w:val="26"/>
              </w:rPr>
              <w:t xml:space="preserve">диниц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</w:t>
            </w:r>
            <w:r>
              <w:rPr>
                <w:sz w:val="26"/>
                <w:szCs w:val="26"/>
              </w:rPr>
              <w:t xml:space="preserve">табильность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</w:t>
            </w:r>
            <w:r>
              <w:rPr>
                <w:sz w:val="26"/>
                <w:szCs w:val="26"/>
              </w:rPr>
              <w:t xml:space="preserve">одсчет общего количества государственных услуг и (или) работ, на которые доводятся государственные задания, выполненные в полном объеме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</w:t>
            </w:r>
            <w:r>
              <w:rPr>
                <w:sz w:val="26"/>
                <w:szCs w:val="26"/>
              </w:rPr>
              <w:t xml:space="preserve">тчет о выполнении государственного задания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 xml:space="preserve">Количество областных государственных учреждений, выполн</w:t>
            </w:r>
            <w:r>
              <w:rPr>
                <w:sz w:val="26"/>
                <w:szCs w:val="26"/>
              </w:rPr>
              <w:t xml:space="preserve">ивших государственное задание в </w:t>
            </w:r>
            <w:r>
              <w:rPr>
                <w:sz w:val="26"/>
                <w:szCs w:val="26"/>
              </w:rPr>
              <w:t xml:space="preserve">полном объеме (мероприятие № 1)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</w:t>
            </w:r>
            <w:r>
              <w:rPr>
                <w:sz w:val="26"/>
                <w:szCs w:val="26"/>
              </w:rPr>
              <w:t xml:space="preserve">диниц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</w:t>
            </w:r>
            <w:r>
              <w:rPr>
                <w:sz w:val="26"/>
                <w:szCs w:val="26"/>
              </w:rPr>
              <w:t xml:space="preserve">табильность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</w:t>
            </w:r>
            <w:r>
              <w:rPr>
                <w:sz w:val="26"/>
                <w:szCs w:val="26"/>
              </w:rPr>
              <w:t xml:space="preserve">одсчет общего количества областных государственных учреждений, выполнивших государственное задание в полном объеме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</w:t>
            </w:r>
            <w:r>
              <w:rPr>
                <w:sz w:val="26"/>
                <w:szCs w:val="26"/>
              </w:rPr>
              <w:t xml:space="preserve">тчет о выполнении государственного задания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r>
              <w:rPr>
                <w:sz w:val="26"/>
                <w:szCs w:val="26"/>
              </w:rPr>
              <w:t xml:space="preserve">Количество оплаченных услуг по обслуживанию и ремонту здания (мероприятие № 2)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</w:t>
            </w:r>
            <w:r>
              <w:rPr>
                <w:sz w:val="26"/>
                <w:szCs w:val="26"/>
              </w:rPr>
              <w:t xml:space="preserve">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</w:t>
            </w:r>
            <w:r>
              <w:rPr>
                <w:sz w:val="26"/>
                <w:szCs w:val="26"/>
              </w:rPr>
              <w:t xml:space="preserve">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</w:t>
            </w:r>
            <w:r>
              <w:rPr>
                <w:sz w:val="26"/>
                <w:szCs w:val="26"/>
              </w:rPr>
              <w:t xml:space="preserve">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</w:t>
            </w:r>
            <w:r>
              <w:rPr>
                <w:sz w:val="26"/>
                <w:szCs w:val="26"/>
              </w:rPr>
              <w:t xml:space="preserve">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</w:t>
            </w:r>
            <w:r>
              <w:rPr>
                <w:sz w:val="26"/>
                <w:szCs w:val="26"/>
              </w:rPr>
              <w:t xml:space="preserve">Количество отремонтир</w:t>
            </w:r>
            <w:r>
              <w:rPr>
                <w:sz w:val="26"/>
                <w:szCs w:val="26"/>
              </w:rPr>
              <w:t xml:space="preserve">ованных объектов (мероприятие № </w:t>
            </w:r>
            <w:r>
              <w:rPr>
                <w:sz w:val="26"/>
                <w:szCs w:val="26"/>
              </w:rPr>
              <w:t xml:space="preserve">3)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</w:t>
            </w:r>
            <w:r>
              <w:rPr>
                <w:sz w:val="26"/>
                <w:szCs w:val="26"/>
              </w:rPr>
              <w:t xml:space="preserve">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</w:t>
            </w:r>
            <w:r>
              <w:rPr>
                <w:sz w:val="26"/>
                <w:szCs w:val="26"/>
              </w:rPr>
              <w:t xml:space="preserve">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</w:t>
            </w:r>
            <w:r>
              <w:rPr>
                <w:sz w:val="26"/>
                <w:szCs w:val="26"/>
              </w:rPr>
              <w:t xml:space="preserve">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</w:t>
            </w:r>
            <w:r>
              <w:rPr>
                <w:sz w:val="26"/>
                <w:szCs w:val="26"/>
              </w:rPr>
              <w:t xml:space="preserve">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>
              <w:rPr>
                <w:sz w:val="26"/>
                <w:szCs w:val="26"/>
              </w:rPr>
              <w:t xml:space="preserve">Количество отремонтир</w:t>
            </w:r>
            <w:r>
              <w:rPr>
                <w:sz w:val="26"/>
                <w:szCs w:val="26"/>
              </w:rPr>
              <w:t xml:space="preserve">ованных объектов (мероприятие № </w:t>
            </w:r>
            <w:r>
              <w:rPr>
                <w:sz w:val="26"/>
                <w:szCs w:val="26"/>
              </w:rPr>
              <w:t xml:space="preserve">4)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</w:t>
            </w:r>
            <w:r>
              <w:rPr>
                <w:sz w:val="26"/>
                <w:szCs w:val="26"/>
              </w:rPr>
              <w:t xml:space="preserve">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</w:t>
            </w:r>
            <w:r>
              <w:rPr>
                <w:sz w:val="26"/>
                <w:szCs w:val="26"/>
              </w:rPr>
              <w:t xml:space="preserve">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</w:t>
            </w:r>
            <w:r>
              <w:rPr>
                <w:sz w:val="26"/>
                <w:szCs w:val="26"/>
              </w:rPr>
              <w:t xml:space="preserve">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</w:t>
            </w:r>
            <w:r>
              <w:rPr>
                <w:sz w:val="26"/>
                <w:szCs w:val="26"/>
              </w:rPr>
              <w:t xml:space="preserve">едомственная статистика</w:t>
            </w:r>
            <w:r/>
          </w:p>
        </w:tc>
      </w:tr>
    </w:tbl>
    <w:p>
      <w:pPr>
        <w:rPr>
          <w:sz w:val="26"/>
          <w:szCs w:val="26"/>
        </w:rPr>
        <w:sectPr>
          <w:headerReference w:type="even" r:id="rId14"/>
          <w:footnotePr/>
          <w:endnotePr/>
          <w:type w:val="nextPage"/>
          <w:pgSz w:w="16840" w:h="11907" w:orient="landscape"/>
          <w:pgMar w:top="1701" w:right="1134" w:bottom="851" w:left="1134" w:header="567" w:footer="272" w:gutter="0"/>
          <w:pgNumType w:start="5"/>
          <w:cols w:num="1" w:sep="0" w:space="720" w:equalWidth="1"/>
          <w:docGrid w:linePitch="360"/>
          <w:titlePg/>
        </w:sectPr>
        <w:outlineLvl w:val="0"/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  <w:outlineLvl w:val="0"/>
      </w:pPr>
      <w:r>
        <w:rPr>
          <w:sz w:val="26"/>
          <w:szCs w:val="26"/>
        </w:rPr>
        <w:t xml:space="preserve">Раздел 3. Порядок управления ВЦП</w:t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W w:w="935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6736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14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Ответственный за </w:t>
            </w:r>
            <w:r>
              <w:rPr>
                <w:sz w:val="26"/>
                <w:szCs w:val="26"/>
              </w:rPr>
              <w:t xml:space="preserve">реализацию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Перетягина Елена Владиславовна, председатель Комитета по охране объектов культурного наследия Томской области</w:t>
            </w:r>
            <w:r/>
          </w:p>
        </w:tc>
      </w:tr>
      <w:tr>
        <w:trPr>
          <w:trHeight w:val="325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261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Порядок организации работы по реализации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Участники ВЦП: Комитет по охране объектов культурного наследия Томской области; областное государственное автономное учреждение культуры «Центр по охране и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использованию памятников истории и культуры»</w:t>
            </w:r>
            <w:r/>
          </w:p>
        </w:tc>
      </w:tr>
      <w:tr>
        <w:trPr>
          <w:trHeight w:val="323"/>
        </w:trPr>
        <w:tc>
          <w:tcPr>
            <w:tcBorders>
              <w:left w:val="single" w:sz="4" w:space="0" w:color="auto"/>
              <w:right w:val="single" w:sz="4" w:space="0" w:color="auto"/>
            </w:tcBorders>
            <w:tcW w:w="261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Комитет по охране объектов культурного наследия Томской области осуществляет: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контроль за исполнением ВЦП</w:t>
            </w:r>
            <w:r>
              <w:rPr>
                <w:sz w:val="26"/>
                <w:szCs w:val="26"/>
              </w:rPr>
              <w:t xml:space="preserve">,</w:t>
            </w:r>
            <w:r>
              <w:rPr>
                <w:sz w:val="26"/>
                <w:szCs w:val="26"/>
              </w:rPr>
              <w:t xml:space="preserve"> мониторинг выполнение системы программных мероприятий;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координацию деятельности исполнителей на основе периодической отчетности для обеспечения их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согласованных действий;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контроль за рациональным использованием исполнителями выделяемых финансовых средств;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4) текущую работу по подготовке и реализации мероприятий, обеспечивающих взаимодействие с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другими органами исполнительной власти Томской области и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организациями;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5) работу по корректировке ВЦП на основании результатов работы за год;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6) подготовку и представление в сводной бюджетной заявки на финансирование мероприятий ВЦП на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очередной финансовый год. </w:t>
            </w:r>
            <w:r/>
          </w:p>
        </w:tc>
      </w:tr>
      <w:tr>
        <w:trPr>
          <w:trHeight w:val="323"/>
        </w:trPr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261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Участники программы осуществляют: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текущую работу по подготовке и реализации мероприятий ВЦП;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подготовку и представление в установленном порядке сводной бюджетной заявки на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финансирование мероприятий ВЦП на очередной финансовый год;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подготовку и представление в Департамент по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культуре Томской области форм отчетности о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реализации мероприятий ВЦП. 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14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Ответственный </w:t>
            </w:r>
            <w:r/>
          </w:p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ежеквартальный</w:t>
            </w:r>
            <w:r>
              <w:rPr>
                <w:sz w:val="26"/>
                <w:szCs w:val="26"/>
              </w:rPr>
              <w:t xml:space="preserve"> и </w:t>
            </w:r>
            <w:r>
              <w:rPr>
                <w:sz w:val="26"/>
                <w:szCs w:val="26"/>
              </w:rPr>
              <w:t xml:space="preserve">ежегодный мониторинг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Перетягина Елена Владиславовна, председатель Комитета по охране объектов культурного наследия Томской области</w:t>
            </w:r>
            <w:r/>
          </w:p>
        </w:tc>
      </w:tr>
    </w:tbl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  <w:outlineLvl w:val="0"/>
      </w:pPr>
      <w:r>
        <w:rPr>
          <w:sz w:val="26"/>
          <w:szCs w:val="26"/>
        </w:rPr>
        <w:t xml:space="preserve">Раздел 4. Оценка рисков реализации ВЦП</w:t>
      </w:r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W w:w="935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272"/>
        <w:gridCol w:w="4078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рисков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Оценка возможного влияния рисков на реализацию ВЦП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Кадровые риски. Отсутствие необходимых специалистов на период реализации отдельных мероприятий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Увеличение срока реализации мероприятий, направленных на</w:t>
            </w:r>
            <w:r>
              <w:rPr>
                <w:sz w:val="26"/>
                <w:szCs w:val="26"/>
              </w:rPr>
              <w:t xml:space="preserve"> </w:t>
            </w:r>
            <w:r>
              <w:rPr>
                <w:sz w:val="26"/>
                <w:szCs w:val="26"/>
              </w:rPr>
              <w:t xml:space="preserve">сохранение объектов культурного наследия 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Непредвиденные, форс-мажорные обстоятельства (стихийные погодные явления и чрезвычайные ситуации) 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Невыполнение запланированных мероприятий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Возможные косвенные последствия реализации ВЦП, носящие отрицательный характер 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Отсутствуют</w:t>
            </w:r>
            <w:r/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rPr>
          <w:sz w:val="26"/>
          <w:szCs w:val="26"/>
        </w:rPr>
        <w:sectPr>
          <w:footnotePr/>
          <w:endnotePr/>
          <w:type w:val="nextPage"/>
          <w:pgSz w:w="11907" w:h="16840" w:orient="portrait"/>
          <w:pgMar w:top="1134" w:right="851" w:bottom="1134" w:left="1701" w:header="567" w:footer="272" w:gutter="0"/>
          <w:cols w:num="1" w:sep="0" w:space="720" w:equalWidth="1"/>
          <w:docGrid w:linePitch="360"/>
          <w:titlePg/>
        </w:sectPr>
      </w:pPr>
      <w:r>
        <w:rPr>
          <w:sz w:val="26"/>
          <w:szCs w:val="26"/>
        </w:rPr>
      </w:r>
      <w:r/>
    </w:p>
    <w:p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Раздел 5. Мероприятия ВЦП</w:t>
      </w:r>
      <w:r/>
    </w:p>
    <w:p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</w:r>
      <w:r/>
    </w:p>
    <w:tbl>
      <w:tblPr>
        <w:tblStyle w:val="1032"/>
        <w:tblW w:w="14929" w:type="dxa"/>
        <w:tblLayout w:type="fixed"/>
        <w:tblLook w:val="04A0" w:firstRow="1" w:lastRow="0" w:firstColumn="1" w:lastColumn="0" w:noHBand="0" w:noVBand="1"/>
      </w:tblPr>
      <w:tblGrid>
        <w:gridCol w:w="524"/>
        <w:gridCol w:w="1688"/>
        <w:gridCol w:w="1724"/>
        <w:gridCol w:w="850"/>
        <w:gridCol w:w="851"/>
        <w:gridCol w:w="1281"/>
        <w:gridCol w:w="1399"/>
        <w:gridCol w:w="801"/>
        <w:gridCol w:w="747"/>
        <w:gridCol w:w="747"/>
        <w:gridCol w:w="1539"/>
        <w:gridCol w:w="804"/>
        <w:gridCol w:w="658"/>
        <w:gridCol w:w="658"/>
        <w:gridCol w:w="658"/>
      </w:tblGrid>
      <w:tr>
        <w:trPr/>
        <w:tc>
          <w:tcPr>
            <w:tcW w:w="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пп</w:t>
            </w:r>
            <w:r/>
          </w:p>
        </w:tc>
        <w:tc>
          <w:tcPr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</w:t>
            </w:r>
            <w:r>
              <w:rPr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tcW w:w="17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 </w:t>
            </w:r>
            <w:r>
              <w:rPr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gridSpan w:val="2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реализации</w:t>
            </w:r>
            <w:r>
              <w:rPr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tcW w:w="128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  <w:r>
              <w:rPr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tcW w:w="13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  <w:r>
              <w:rPr>
                <w:sz w:val="18"/>
                <w:szCs w:val="18"/>
              </w:rPr>
              <w:br/>
              <w:t xml:space="preserve">классификации расходов бюджетов (</w:t>
            </w:r>
            <w:r>
              <w:rPr>
                <w:sz w:val="18"/>
                <w:szCs w:val="18"/>
              </w:rPr>
              <w:t xml:space="preserve">РзПР</w:t>
            </w:r>
            <w:r>
              <w:rPr>
                <w:sz w:val="18"/>
                <w:szCs w:val="18"/>
              </w:rPr>
              <w:t xml:space="preserve">, КЦСР, КВР)</w:t>
            </w:r>
            <w:r/>
          </w:p>
        </w:tc>
        <w:tc>
          <w:tcPr>
            <w:gridSpan w:val="3"/>
            <w:tcW w:w="229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мероприятие (тыс. руб.)</w:t>
            </w:r>
            <w:r/>
          </w:p>
        </w:tc>
        <w:tc>
          <w:tcPr>
            <w:gridSpan w:val="5"/>
            <w:tcW w:w="43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Показатели непосредственного результата   </w:t>
            </w:r>
            <w:r>
              <w:rPr>
                <w:sz w:val="18"/>
                <w:szCs w:val="18"/>
              </w:rPr>
              <w:br/>
              <w:t xml:space="preserve">(показатели реализации мероприятия)</w:t>
            </w:r>
            <w:r/>
          </w:p>
        </w:tc>
      </w:tr>
      <w:tr>
        <w:trPr/>
        <w:tc>
          <w:tcPr>
            <w:tcW w:w="5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W w:w="1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  <w:r>
              <w:rPr>
                <w:sz w:val="18"/>
                <w:szCs w:val="18"/>
              </w:rPr>
              <w:br/>
              <w:t xml:space="preserve">(месяц/ год)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</w:t>
            </w:r>
            <w:r>
              <w:rPr>
                <w:sz w:val="18"/>
                <w:szCs w:val="18"/>
              </w:rPr>
              <w:br/>
              <w:t xml:space="preserve">(месяц/ год)</w:t>
            </w:r>
            <w:r/>
          </w:p>
        </w:tc>
        <w:tc>
          <w:tcPr>
            <w:tcW w:w="128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W w:w="8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2022</w:t>
            </w:r>
            <w:r/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</w:t>
            </w:r>
            <w:r/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2023</w:t>
            </w:r>
            <w:r/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</w:t>
            </w:r>
            <w:r/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</w:t>
            </w:r>
            <w:r/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</w:t>
            </w:r>
            <w:r/>
          </w:p>
        </w:tc>
        <w:tc>
          <w:tcPr>
            <w:tcW w:w="15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</w:t>
            </w:r>
            <w:r>
              <w:rPr>
                <w:sz w:val="18"/>
                <w:szCs w:val="18"/>
              </w:rPr>
              <w:t xml:space="preserve">аименование  </w:t>
            </w:r>
            <w:r>
              <w:rPr>
                <w:sz w:val="18"/>
                <w:szCs w:val="18"/>
              </w:rPr>
              <w:br/>
              <w:t xml:space="preserve">показателя</w:t>
            </w:r>
            <w:r/>
          </w:p>
        </w:tc>
        <w:tc>
          <w:tcPr>
            <w:tcW w:w="80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</w:t>
            </w:r>
            <w:r>
              <w:rPr>
                <w:sz w:val="18"/>
                <w:szCs w:val="18"/>
              </w:rPr>
              <w:t xml:space="preserve">д. изм.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2022</w:t>
            </w:r>
            <w:r/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2023</w:t>
            </w:r>
            <w:r/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</w:t>
            </w:r>
            <w:r/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</w:t>
            </w:r>
            <w:r/>
          </w:p>
        </w:tc>
      </w:tr>
      <w:tr>
        <w:trPr/>
        <w:tc>
          <w:tcPr>
            <w:tcW w:w="52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16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/>
          </w:p>
        </w:tc>
        <w:tc>
          <w:tcPr>
            <w:tcW w:w="172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/>
          </w:p>
        </w:tc>
        <w:tc>
          <w:tcPr>
            <w:tcW w:w="12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/>
          </w:p>
        </w:tc>
        <w:tc>
          <w:tcPr>
            <w:tcW w:w="139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/>
          </w:p>
        </w:tc>
        <w:tc>
          <w:tcPr>
            <w:tcW w:w="8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/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</w:t>
            </w:r>
            <w:r/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/>
          </w:p>
        </w:tc>
        <w:tc>
          <w:tcPr>
            <w:tcW w:w="15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</w:t>
            </w:r>
            <w:r/>
          </w:p>
        </w:tc>
        <w:tc>
          <w:tcPr>
            <w:tcW w:w="80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/>
          </w:p>
        </w:tc>
      </w:tr>
      <w:tr>
        <w:trPr/>
        <w:tc>
          <w:tcPr>
            <w:tcW w:w="524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1</w:t>
            </w:r>
            <w:r/>
          </w:p>
          <w:p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 </w:t>
            </w:r>
            <w:r/>
          </w:p>
        </w:tc>
        <w:tc>
          <w:tcPr>
            <w:tcW w:w="1688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государственных работ областным государственным автономным учреждением культуры  «</w:t>
            </w:r>
            <w:r>
              <w:rPr>
                <w:sz w:val="18"/>
                <w:szCs w:val="18"/>
              </w:rPr>
              <w:t xml:space="preserve">Центр по охране и </w:t>
            </w:r>
            <w:r>
              <w:rPr>
                <w:sz w:val="18"/>
                <w:szCs w:val="18"/>
              </w:rPr>
              <w:t xml:space="preserve">использованию памятников истории и культуры» в соответствии с государственным заданием</w:t>
            </w:r>
            <w:r/>
          </w:p>
        </w:tc>
        <w:tc>
          <w:tcPr>
            <w:tcW w:w="1724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</w:t>
            </w:r>
            <w:r>
              <w:rPr>
                <w:sz w:val="18"/>
                <w:szCs w:val="18"/>
              </w:rPr>
              <w:t xml:space="preserve">ыполнение государст</w:t>
            </w:r>
            <w:r>
              <w:rPr>
                <w:sz w:val="18"/>
                <w:szCs w:val="18"/>
              </w:rPr>
              <w:t xml:space="preserve">венных  работ, указанных в </w:t>
            </w:r>
            <w:r>
              <w:rPr>
                <w:sz w:val="18"/>
                <w:szCs w:val="18"/>
              </w:rPr>
              <w:t xml:space="preserve">приложении к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ВЦП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01.2022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12.2024</w:t>
            </w:r>
            <w:r/>
          </w:p>
        </w:tc>
        <w:tc>
          <w:tcPr>
            <w:tcW w:w="128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Областное </w:t>
            </w:r>
            <w:r>
              <w:rPr>
                <w:sz w:val="18"/>
                <w:szCs w:val="18"/>
              </w:rPr>
              <w:t xml:space="preserve">государст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венное автономно</w:t>
            </w:r>
            <w:r>
              <w:rPr>
                <w:sz w:val="18"/>
                <w:szCs w:val="18"/>
              </w:rPr>
              <w:t xml:space="preserve">е учреждение культуры «Центр по охране и </w:t>
            </w:r>
            <w:r>
              <w:rPr>
                <w:sz w:val="18"/>
                <w:szCs w:val="18"/>
              </w:rPr>
              <w:t xml:space="preserve">использо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ванию</w:t>
            </w:r>
            <w:r>
              <w:rPr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0801 1016203070 620</w:t>
            </w:r>
            <w:r/>
          </w:p>
        </w:tc>
        <w:tc>
          <w:tcPr>
            <w:tcW w:w="80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9208,9</w:t>
            </w:r>
            <w:r/>
          </w:p>
        </w:tc>
        <w:tc>
          <w:tcPr>
            <w:tcW w:w="747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9208,9</w:t>
            </w:r>
            <w:r/>
          </w:p>
        </w:tc>
        <w:tc>
          <w:tcPr>
            <w:tcW w:w="747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9208,9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</w:t>
            </w:r>
            <w:r>
              <w:rPr>
                <w:sz w:val="18"/>
                <w:szCs w:val="18"/>
              </w:rPr>
              <w:t xml:space="preserve">оказатель объема: </w:t>
            </w:r>
            <w:r>
              <w:rPr>
                <w:sz w:val="18"/>
                <w:szCs w:val="18"/>
              </w:rPr>
              <w:t xml:space="preserve">к</w:t>
            </w:r>
            <w:r>
              <w:rPr>
                <w:sz w:val="18"/>
                <w:szCs w:val="18"/>
              </w:rPr>
              <w:t xml:space="preserve">оличество  государственных</w:t>
            </w:r>
            <w:r>
              <w:rPr>
                <w:sz w:val="18"/>
                <w:szCs w:val="18"/>
              </w:rPr>
              <w:t xml:space="preserve">  услуг  (работ), выполненных в </w:t>
            </w:r>
            <w:r>
              <w:rPr>
                <w:sz w:val="18"/>
                <w:szCs w:val="18"/>
              </w:rPr>
              <w:t xml:space="preserve">полном объеме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е</w:t>
            </w:r>
            <w:r>
              <w:rPr>
                <w:color w:val="002060"/>
                <w:sz w:val="18"/>
                <w:szCs w:val="18"/>
              </w:rPr>
              <w:t xml:space="preserve">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</w:tr>
      <w:tr>
        <w:trPr/>
        <w:tc>
          <w:tcPr>
            <w:tcW w:w="5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1688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1724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1281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1399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801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747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747" w:type="dxa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</w:t>
            </w:r>
            <w:r>
              <w:rPr>
                <w:sz w:val="18"/>
                <w:szCs w:val="18"/>
              </w:rPr>
              <w:t xml:space="preserve">оказатели качества: </w:t>
            </w:r>
            <w:r>
              <w:rPr>
                <w:sz w:val="18"/>
                <w:szCs w:val="18"/>
              </w:rPr>
              <w:t xml:space="preserve">к</w:t>
            </w:r>
            <w:r>
              <w:rPr>
                <w:sz w:val="18"/>
                <w:szCs w:val="18"/>
              </w:rPr>
              <w:t xml:space="preserve">оличество областных государственных учреждений выполн</w:t>
            </w:r>
            <w:r>
              <w:rPr>
                <w:sz w:val="18"/>
                <w:szCs w:val="18"/>
              </w:rPr>
              <w:t xml:space="preserve">ивших государственное задание в </w:t>
            </w:r>
            <w:r>
              <w:rPr>
                <w:sz w:val="18"/>
                <w:szCs w:val="18"/>
              </w:rPr>
              <w:t xml:space="preserve">полном объеме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е</w:t>
            </w:r>
            <w:r>
              <w:rPr>
                <w:color w:val="002060"/>
                <w:sz w:val="18"/>
                <w:szCs w:val="18"/>
              </w:rPr>
              <w:t xml:space="preserve">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</w:tr>
      <w:tr>
        <w:trPr/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</w:t>
            </w:r>
            <w:r>
              <w:rPr>
                <w:sz w:val="18"/>
                <w:szCs w:val="18"/>
              </w:rPr>
              <w:t xml:space="preserve">здания по адресу: г. Томск, пр. </w:t>
            </w:r>
            <w:r>
              <w:rPr>
                <w:sz w:val="18"/>
                <w:szCs w:val="18"/>
              </w:rPr>
              <w:t xml:space="preserve">Ленина, 50, являющегося объектом культурного наследия федерального значения («Здание Общественного собрания, 1900 г., </w:t>
            </w:r>
            <w:r>
              <w:rPr>
                <w:sz w:val="18"/>
                <w:szCs w:val="18"/>
              </w:rPr>
              <w:t xml:space="preserve">арх.Лыгин</w:t>
            </w:r>
            <w:r>
              <w:rPr>
                <w:sz w:val="18"/>
                <w:szCs w:val="18"/>
              </w:rPr>
              <w:t xml:space="preserve"> К.К.»)</w:t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</w:t>
            </w:r>
            <w:r>
              <w:rPr>
                <w:sz w:val="18"/>
                <w:szCs w:val="18"/>
              </w:rPr>
              <w:t xml:space="preserve">плата услуг  коммунальных,  по </w:t>
            </w:r>
            <w:r>
              <w:rPr>
                <w:sz w:val="18"/>
                <w:szCs w:val="18"/>
              </w:rPr>
              <w:t xml:space="preserve">обслужив</w:t>
            </w:r>
            <w:r>
              <w:rPr>
                <w:sz w:val="18"/>
                <w:szCs w:val="18"/>
              </w:rPr>
              <w:t xml:space="preserve">а</w:t>
            </w:r>
            <w:r>
              <w:rPr>
                <w:sz w:val="18"/>
                <w:szCs w:val="18"/>
              </w:rPr>
              <w:t xml:space="preserve">нию</w:t>
            </w:r>
            <w:r>
              <w:rPr>
                <w:sz w:val="18"/>
                <w:szCs w:val="18"/>
              </w:rPr>
              <w:t xml:space="preserve"> и </w:t>
            </w:r>
            <w:r>
              <w:rPr>
                <w:sz w:val="18"/>
                <w:szCs w:val="18"/>
              </w:rPr>
              <w:t xml:space="preserve">текущему ремон</w:t>
            </w:r>
            <w:r>
              <w:rPr>
                <w:sz w:val="18"/>
                <w:szCs w:val="18"/>
              </w:rPr>
              <w:t xml:space="preserve">ту, охраны здания по </w:t>
            </w:r>
            <w:r>
              <w:rPr>
                <w:sz w:val="18"/>
                <w:szCs w:val="18"/>
              </w:rPr>
              <w:t xml:space="preserve">адресу: г. Томск, пр. Ленина, 50.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01.2022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12.2024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Областное </w:t>
            </w:r>
            <w:r>
              <w:rPr>
                <w:sz w:val="18"/>
                <w:szCs w:val="18"/>
              </w:rPr>
              <w:t xml:space="preserve">государст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венное автономно</w:t>
            </w:r>
            <w:r>
              <w:rPr>
                <w:sz w:val="18"/>
                <w:szCs w:val="18"/>
              </w:rPr>
              <w:t xml:space="preserve">е учреждение культуры «Центр по охране и </w:t>
            </w:r>
            <w:r>
              <w:rPr>
                <w:sz w:val="18"/>
                <w:szCs w:val="18"/>
              </w:rPr>
              <w:t xml:space="preserve">использо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ванию</w:t>
            </w:r>
            <w:r>
              <w:rPr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0801 1016203070 620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2291,8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2291,8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2291,8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</w:t>
            </w:r>
            <w:r>
              <w:rPr>
                <w:sz w:val="18"/>
                <w:szCs w:val="18"/>
              </w:rPr>
              <w:t xml:space="preserve">оказатель объема: </w:t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</w:t>
            </w:r>
            <w:r>
              <w:rPr>
                <w:sz w:val="18"/>
                <w:szCs w:val="18"/>
              </w:rPr>
              <w:t xml:space="preserve">оличество опл</w:t>
            </w:r>
            <w:r>
              <w:rPr>
                <w:sz w:val="18"/>
                <w:szCs w:val="18"/>
              </w:rPr>
              <w:t xml:space="preserve">аченных услуг по обслуживанию и </w:t>
            </w:r>
            <w:r>
              <w:rPr>
                <w:sz w:val="18"/>
                <w:szCs w:val="18"/>
              </w:rPr>
              <w:t xml:space="preserve">ремонту здания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</w:t>
            </w:r>
            <w:r>
              <w:rPr>
                <w:sz w:val="18"/>
                <w:szCs w:val="18"/>
              </w:rPr>
              <w:t xml:space="preserve">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/>
          </w:p>
        </w:tc>
      </w:tr>
      <w:tr>
        <w:trPr/>
        <w:tc>
          <w:tcPr>
            <w:tcW w:w="52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/>
          </w:p>
        </w:tc>
      </w:tr>
      <w:tr>
        <w:trPr>
          <w:trHeight w:val="3173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работ по сохранению (внутренние работы, инженерные сети) объекта культурного наследия регионал</w:t>
            </w:r>
            <w:r>
              <w:rPr>
                <w:sz w:val="18"/>
                <w:szCs w:val="18"/>
              </w:rPr>
              <w:t xml:space="preserve">ьного значения «Пассаж Второва, н</w:t>
            </w:r>
            <w:r>
              <w:rPr>
                <w:sz w:val="18"/>
                <w:szCs w:val="18"/>
              </w:rPr>
              <w:t xml:space="preserve">ач.</w:t>
            </w:r>
            <w:r>
              <w:rPr>
                <w:sz w:val="18"/>
                <w:szCs w:val="18"/>
                <w:lang w:val="en-US"/>
              </w:rPr>
              <w:t xml:space="preserve">XX</w:t>
            </w:r>
            <w:r>
              <w:rPr>
                <w:sz w:val="18"/>
                <w:szCs w:val="18"/>
              </w:rPr>
              <w:t xml:space="preserve"> в.», по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адресу: г. Томск,</w:t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пр.Ленина</w:t>
            </w:r>
            <w:r>
              <w:rPr>
                <w:sz w:val="18"/>
                <w:szCs w:val="18"/>
              </w:rPr>
              <w:t xml:space="preserve">, 111. </w:t>
            </w:r>
            <w:r>
              <w:rPr>
                <w:sz w:val="18"/>
                <w:szCs w:val="18"/>
                <w:lang w:val="en-US"/>
              </w:rPr>
              <w:t xml:space="preserve">II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этап (внутренние работы, включая инженерные сети)</w:t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</w:t>
            </w:r>
            <w:r>
              <w:rPr>
                <w:sz w:val="18"/>
                <w:szCs w:val="18"/>
              </w:rPr>
              <w:t xml:space="preserve">аключение договора на проведение  работ по сохранению (внутренние работы, инженерные сети) объекта культурного наследия регионально-</w:t>
            </w:r>
            <w:r>
              <w:rPr>
                <w:sz w:val="18"/>
                <w:szCs w:val="18"/>
              </w:rPr>
              <w:t xml:space="preserve">го</w:t>
            </w:r>
            <w:r>
              <w:rPr>
                <w:sz w:val="18"/>
                <w:szCs w:val="18"/>
              </w:rPr>
              <w:t xml:space="preserve"> значения «Пассаж Второва, нач.</w:t>
            </w:r>
            <w:r>
              <w:rPr>
                <w:sz w:val="18"/>
                <w:szCs w:val="18"/>
                <w:lang w:val="en-US"/>
              </w:rPr>
              <w:t xml:space="preserve">XX</w:t>
            </w:r>
            <w:r>
              <w:rPr>
                <w:sz w:val="18"/>
                <w:szCs w:val="18"/>
              </w:rPr>
              <w:t xml:space="preserve"> в.», по адресу: г. Томск,</w:t>
            </w:r>
            <w:r/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пр.Ленина</w:t>
            </w:r>
            <w:r>
              <w:rPr>
                <w:sz w:val="18"/>
                <w:szCs w:val="18"/>
              </w:rPr>
              <w:t xml:space="preserve">, 111. </w:t>
            </w:r>
            <w:r>
              <w:rPr>
                <w:sz w:val="18"/>
                <w:szCs w:val="18"/>
                <w:lang w:val="en-US"/>
              </w:rPr>
              <w:t xml:space="preserve">II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этап (внутренние работы, включая инженерные сети)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01.2022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12.2022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Областное </w:t>
            </w:r>
            <w:r>
              <w:rPr>
                <w:sz w:val="18"/>
                <w:szCs w:val="18"/>
              </w:rPr>
              <w:t xml:space="preserve">государст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венное автономно</w:t>
            </w:r>
            <w:r>
              <w:rPr>
                <w:sz w:val="18"/>
                <w:szCs w:val="18"/>
              </w:rPr>
              <w:t xml:space="preserve">е учреждение культуры «Центр по охране и </w:t>
            </w:r>
            <w:r>
              <w:rPr>
                <w:sz w:val="18"/>
                <w:szCs w:val="18"/>
              </w:rPr>
              <w:t xml:space="preserve">использо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ванию</w:t>
            </w:r>
            <w:r>
              <w:rPr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50000,0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</w:t>
            </w:r>
            <w:r>
              <w:rPr>
                <w:sz w:val="18"/>
                <w:szCs w:val="18"/>
              </w:rPr>
              <w:t xml:space="preserve">оказатель объема: </w:t>
            </w:r>
            <w:r>
              <w:rPr>
                <w:sz w:val="18"/>
                <w:szCs w:val="18"/>
              </w:rPr>
              <w:t xml:space="preserve">к</w:t>
            </w:r>
            <w:r>
              <w:rPr>
                <w:sz w:val="18"/>
                <w:szCs w:val="18"/>
              </w:rPr>
              <w:t xml:space="preserve">оличество  отремонтирован-</w:t>
            </w:r>
            <w:r>
              <w:rPr>
                <w:sz w:val="18"/>
                <w:szCs w:val="18"/>
              </w:rPr>
              <w:t xml:space="preserve">ных</w:t>
            </w:r>
            <w:r>
              <w:rPr>
                <w:sz w:val="18"/>
                <w:szCs w:val="18"/>
              </w:rPr>
              <w:t xml:space="preserve"> объектов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</w:t>
            </w:r>
            <w:r/>
          </w:p>
        </w:tc>
      </w:tr>
      <w:tr>
        <w:trPr/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pStyle w:val="105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работ по сохранению (восстановлению большого зала и крыши) объекта культурного наследия регионального значения «Театр-синематограф «Новый», 1915 г., расположенного по адресу: Томская область, </w:t>
            </w:r>
            <w:r>
              <w:rPr>
                <w:sz w:val="18"/>
                <w:szCs w:val="18"/>
              </w:rPr>
              <w:t xml:space="preserve">г. Томск, пер. </w:t>
            </w:r>
            <w:r>
              <w:rPr>
                <w:sz w:val="18"/>
                <w:szCs w:val="18"/>
              </w:rPr>
              <w:t xml:space="preserve">Нахановича</w:t>
            </w:r>
            <w:r>
              <w:rPr>
                <w:sz w:val="18"/>
                <w:szCs w:val="18"/>
              </w:rPr>
              <w:t xml:space="preserve">, 4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</w:t>
            </w:r>
            <w:r>
              <w:rPr>
                <w:sz w:val="18"/>
                <w:szCs w:val="18"/>
              </w:rPr>
              <w:t xml:space="preserve">аключение договора на проведение  работ по сохранению (восстановле</w:t>
            </w:r>
            <w:r>
              <w:rPr>
                <w:sz w:val="18"/>
                <w:szCs w:val="18"/>
              </w:rPr>
              <w:t xml:space="preserve">нию большого зала и </w:t>
            </w:r>
            <w:r>
              <w:rPr>
                <w:sz w:val="18"/>
                <w:szCs w:val="18"/>
              </w:rPr>
              <w:t xml:space="preserve">крыши) объекта культурного наследия регионального значения «Театр-</w:t>
            </w:r>
            <w:r>
              <w:rPr>
                <w:sz w:val="18"/>
                <w:szCs w:val="18"/>
              </w:rPr>
              <w:t xml:space="preserve">синематог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раф</w:t>
            </w:r>
            <w:r>
              <w:rPr>
                <w:sz w:val="18"/>
                <w:szCs w:val="18"/>
              </w:rPr>
              <w:t xml:space="preserve"> «Новый» 1915 </w:t>
            </w:r>
            <w:r>
              <w:rPr>
                <w:sz w:val="18"/>
                <w:szCs w:val="18"/>
              </w:rPr>
              <w:t xml:space="preserve">А.И.Лангер</w:t>
            </w:r>
            <w:r>
              <w:rPr>
                <w:sz w:val="18"/>
                <w:szCs w:val="18"/>
              </w:rPr>
              <w:t xml:space="preserve">», расположенного по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адресу: г. Томск, пер. </w:t>
            </w:r>
            <w:r>
              <w:rPr>
                <w:sz w:val="18"/>
                <w:szCs w:val="18"/>
              </w:rPr>
              <w:t xml:space="preserve">Нахановича</w:t>
            </w:r>
            <w:r>
              <w:rPr>
                <w:sz w:val="18"/>
                <w:szCs w:val="18"/>
              </w:rPr>
              <w:t xml:space="preserve">, 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01.2022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12.2022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Областное </w:t>
            </w:r>
            <w:r>
              <w:rPr>
                <w:sz w:val="18"/>
                <w:szCs w:val="18"/>
              </w:rPr>
              <w:t xml:space="preserve">государст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венное автономно</w:t>
            </w:r>
            <w:r>
              <w:rPr>
                <w:sz w:val="18"/>
                <w:szCs w:val="18"/>
              </w:rPr>
              <w:t xml:space="preserve">е учреждение культуры «Центр по охране и </w:t>
            </w:r>
            <w:r>
              <w:rPr>
                <w:sz w:val="18"/>
                <w:szCs w:val="18"/>
              </w:rPr>
              <w:t xml:space="preserve">использо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  <w:t xml:space="preserve">ванию</w:t>
            </w:r>
            <w:r>
              <w:rPr>
                <w:sz w:val="18"/>
                <w:szCs w:val="18"/>
              </w:rPr>
              <w:t xml:space="preserve"> памятников истории и </w:t>
            </w:r>
            <w:r>
              <w:rPr>
                <w:sz w:val="18"/>
                <w:szCs w:val="18"/>
              </w:rPr>
              <w:t xml:space="preserve">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40000,0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</w:t>
            </w:r>
            <w:r>
              <w:rPr>
                <w:sz w:val="18"/>
                <w:szCs w:val="18"/>
              </w:rPr>
              <w:t xml:space="preserve">оказатель объема: </w:t>
            </w:r>
            <w:r>
              <w:rPr>
                <w:sz w:val="18"/>
                <w:szCs w:val="18"/>
              </w:rPr>
              <w:t xml:space="preserve">к</w:t>
            </w:r>
            <w:r>
              <w:rPr>
                <w:sz w:val="18"/>
                <w:szCs w:val="18"/>
              </w:rPr>
              <w:t xml:space="preserve">оличество  отремонтирован-</w:t>
            </w:r>
            <w:r>
              <w:rPr>
                <w:sz w:val="18"/>
                <w:szCs w:val="18"/>
              </w:rPr>
              <w:t xml:space="preserve">ных</w:t>
            </w:r>
            <w:r>
              <w:rPr>
                <w:sz w:val="18"/>
                <w:szCs w:val="18"/>
              </w:rPr>
              <w:t xml:space="preserve"> объектов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</w:t>
            </w:r>
            <w:r/>
          </w:p>
        </w:tc>
      </w:tr>
      <w:tr>
        <w:trPr/>
        <w:tc>
          <w:tcPr>
            <w:gridSpan w:val="8"/>
            <w:tcW w:w="9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 по ВЦП                                                                                                                                                      101 500,7</w:t>
            </w:r>
            <w:r/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11 500,7</w:t>
            </w:r>
            <w:r/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11 500,7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/>
          </w:p>
        </w:tc>
      </w:tr>
    </w:tbl>
    <w:p>
      <w:pPr>
        <w:ind w:left="10206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left="10206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10206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10206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0206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left="10206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left="10206"/>
        <w:rPr>
          <w:sz w:val="26"/>
          <w:szCs w:val="26"/>
        </w:rPr>
      </w:pPr>
      <w:r>
        <w:rPr>
          <w:sz w:val="26"/>
          <w:szCs w:val="26"/>
        </w:rPr>
        <w:t xml:space="preserve">Приложение </w:t>
      </w:r>
      <w:r/>
    </w:p>
    <w:p>
      <w:pPr>
        <w:ind w:left="10206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>
        <w:rPr>
          <w:sz w:val="26"/>
          <w:szCs w:val="26"/>
        </w:rPr>
        <w:t xml:space="preserve">В</w:t>
      </w:r>
      <w:r>
        <w:rPr>
          <w:sz w:val="26"/>
          <w:szCs w:val="26"/>
        </w:rPr>
        <w:t xml:space="preserve">едомственной целевой программе «Сохранение, использование, популяризация объектов культурного наследия (памятников истории и культуры), расположенных на территории Томской области»</w:t>
      </w:r>
      <w:r/>
    </w:p>
    <w:tbl>
      <w:tblPr>
        <w:tblW w:w="1505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68"/>
        <w:gridCol w:w="1465"/>
        <w:gridCol w:w="2702"/>
        <w:gridCol w:w="1701"/>
        <w:gridCol w:w="1703"/>
        <w:gridCol w:w="1704"/>
        <w:gridCol w:w="855"/>
        <w:gridCol w:w="851"/>
        <w:gridCol w:w="850"/>
        <w:gridCol w:w="851"/>
        <w:gridCol w:w="850"/>
        <w:gridCol w:w="841"/>
        <w:gridCol w:w="10"/>
      </w:tblGrid>
      <w:tr>
        <w:trPr>
          <w:gridAfter w:val="1"/>
          <w:trHeight w:val="1500"/>
        </w:trPr>
        <w:tc>
          <w:tcPr>
            <w:gridSpan w:val="12"/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04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Сводная информация об объемах государственных услуг (работ), оказываемых (выполняемых) </w:t>
            </w:r>
            <w:r>
              <w:rPr>
                <w:bCs/>
                <w:color w:val="000000"/>
                <w:sz w:val="26"/>
                <w:szCs w:val="26"/>
              </w:rPr>
              <w:br/>
              <w:t xml:space="preserve">областным государственным автономным учреждением культуры «Центр по охране и использованию памятников истории и культуры» в соответствии с государственным </w:t>
            </w:r>
            <w:r>
              <w:rPr>
                <w:bCs/>
                <w:color w:val="000000"/>
                <w:sz w:val="26"/>
                <w:szCs w:val="26"/>
              </w:rPr>
              <w:t xml:space="preserve">заданием</w:t>
            </w:r>
            <w:r>
              <w:rPr>
                <w:bCs/>
                <w:color w:val="000000"/>
                <w:sz w:val="26"/>
                <w:szCs w:val="26"/>
              </w:rPr>
              <w:t xml:space="preserve">, в рамках реализации </w:t>
            </w:r>
            <w:r>
              <w:rPr>
                <w:bCs/>
                <w:color w:val="000000"/>
                <w:sz w:val="26"/>
                <w:szCs w:val="26"/>
              </w:rPr>
              <w:t xml:space="preserve">ВЦП</w:t>
            </w:r>
            <w:r/>
          </w:p>
        </w:tc>
      </w:tr>
      <w:tr>
        <w:trPr>
          <w:trHeight w:val="908"/>
        </w:trPr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6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№</w:t>
            </w:r>
            <w:r>
              <w:rPr>
                <w:color w:val="000000"/>
                <w:sz w:val="18"/>
                <w:szCs w:val="18"/>
              </w:rPr>
              <w:br/>
              <w:t xml:space="preserve">п/п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4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государственной услуги (работы)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2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Содержание государственной услуги (работы)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Условия оказания государственной услуги (выполнения работы)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Областные государственные учреждения, оказывающие государственную услугу (выполняющие работу)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и </w:t>
            </w:r>
            <w:r>
              <w:rPr>
                <w:color w:val="000000"/>
                <w:sz w:val="18"/>
                <w:szCs w:val="18"/>
              </w:rPr>
              <w:t xml:space="preserve">единица измерения показателей объема государственной услуги (работы)</w:t>
            </w:r>
            <w:r/>
          </w:p>
        </w:tc>
        <w:tc>
          <w:tcPr>
            <w:gridSpan w:val="3"/>
            <w:shd w:val="clear" w:fill="auto" w:color="auto"/>
            <w:tcBorders>
              <w:left w:val="none" w:color="000000" w:sz="4" w:space="0"/>
              <w:top w:val="single" w:sz="4" w:space="0" w:color="auto"/>
              <w:right w:val="single" w:color="000000" w:sz="4" w:space="0"/>
              <w:bottom w:val="single" w:sz="4" w:space="0" w:color="auto"/>
            </w:tcBorders>
            <w:tcW w:w="25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Значения показателя объема государственной услуги (работы)</w:t>
            </w:r>
            <w:r/>
          </w:p>
        </w:tc>
        <w:tc>
          <w:tcPr>
            <w:gridSpan w:val="4"/>
            <w:shd w:val="clear" w:fill="auto" w:color="auto"/>
            <w:tcBorders>
              <w:left w:val="none" w:color="000000" w:sz="4" w:space="0"/>
              <w:top w:val="single" w:sz="4" w:space="0" w:color="auto"/>
              <w:right w:val="single" w:color="000000" w:sz="4" w:space="0"/>
              <w:bottom w:val="single" w:sz="4" w:space="0" w:color="auto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Объем бюджетных ассигнований</w:t>
            </w:r>
            <w:r>
              <w:rPr>
                <w:color w:val="000000"/>
                <w:sz w:val="18"/>
                <w:szCs w:val="18"/>
              </w:rPr>
              <w:br/>
              <w:t xml:space="preserve"> (тыс. руб.)</w:t>
            </w:r>
            <w:r/>
          </w:p>
        </w:tc>
      </w:tr>
      <w:tr>
        <w:trPr>
          <w:trHeight w:val="68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6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46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2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2022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2023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2024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2022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2023 год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2024 год</w:t>
            </w:r>
            <w:r/>
          </w:p>
        </w:tc>
      </w:tr>
      <w:tr>
        <w:trPr>
          <w:trHeight w:val="435"/>
        </w:trPr>
        <w:tc>
          <w:tcPr>
            <w:shd w:val="clear" w:fill="auto" w:color="auto"/>
            <w:tcBorders>
              <w:left w:val="single" w:sz="4" w:space="0" w:color="auto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668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</w:t>
            </w:r>
            <w:r/>
          </w:p>
        </w:tc>
        <w:tc>
          <w:tcPr>
            <w:gridSpan w:val="12"/>
            <w:shd w:val="clear" w:fill="auto" w:color="auto"/>
            <w:tcBorders>
              <w:left w:val="none" w:color="000000" w:sz="4" w:space="0"/>
              <w:top w:val="single" w:sz="4" w:space="0" w:color="auto"/>
              <w:right w:val="single" w:color="000000" w:sz="4" w:space="0"/>
              <w:bottom w:val="single" w:sz="4" w:space="0" w:color="auto"/>
            </w:tcBorders>
            <w:tcW w:w="14383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Государственные работы</w:t>
            </w:r>
            <w:r/>
          </w:p>
        </w:tc>
      </w:tr>
      <w:tr>
        <w:trPr>
          <w:trHeight w:val="96"/>
        </w:trPr>
        <w:tc>
          <w:tcPr>
            <w:shd w:val="clear" w:color="000000" w:fill="FFFFFF"/>
            <w:tcBorders>
              <w:left w:val="single" w:sz="4" w:space="0" w:color="auto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668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1.1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465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Обеспечение сохранения и использования объектов культурного наследия</w:t>
            </w:r>
            <w:r>
              <w:rPr>
                <w:color w:val="000000"/>
                <w:sz w:val="18"/>
                <w:szCs w:val="18"/>
              </w:rPr>
              <w:br/>
              <w:t xml:space="preserve">(далее-ОКН)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2702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1) обеспечение полноты и достоверности учета ОКН;</w:t>
            </w:r>
            <w:r>
              <w:rPr>
                <w:color w:val="000000"/>
                <w:sz w:val="18"/>
                <w:szCs w:val="18"/>
              </w:rPr>
              <w:br/>
              <w:t xml:space="preserve">2) мониторинг ОКН;</w:t>
            </w:r>
            <w:r>
              <w:rPr>
                <w:color w:val="000000"/>
                <w:sz w:val="18"/>
                <w:szCs w:val="18"/>
              </w:rPr>
              <w:br/>
              <w:t xml:space="preserve">3) сохранение ОКН;</w:t>
            </w:r>
            <w:r>
              <w:rPr>
                <w:color w:val="000000"/>
                <w:sz w:val="18"/>
                <w:szCs w:val="18"/>
              </w:rPr>
              <w:br/>
              <w:t xml:space="preserve">4) осуществление функции заказчика в отношении ОКН;</w:t>
            </w:r>
            <w:r>
              <w:rPr>
                <w:color w:val="000000"/>
                <w:sz w:val="18"/>
                <w:szCs w:val="18"/>
              </w:rPr>
              <w:br/>
              <w:t xml:space="preserve">5) популяризация ОКН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 плановой форме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703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Областное государственное автономное учреждение культуры «Центр по охране и использованию памятников истории и культуры»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704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</w:t>
            </w:r>
            <w:r>
              <w:rPr>
                <w:color w:val="000000"/>
                <w:sz w:val="18"/>
                <w:szCs w:val="18"/>
              </w:rPr>
              <w:t xml:space="preserve">оличество ОКН (единиц)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5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170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185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9201,6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9201,6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9201,6</w:t>
            </w:r>
            <w:r/>
          </w:p>
        </w:tc>
      </w:tr>
      <w:tr>
        <w:trPr>
          <w:trHeight w:val="255"/>
        </w:trPr>
        <w:tc>
          <w:tcPr>
            <w:gridSpan w:val="9"/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499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Затраты на уплату налогов, в качестве </w:t>
            </w:r>
            <w:r>
              <w:rPr>
                <w:sz w:val="18"/>
                <w:szCs w:val="18"/>
              </w:rPr>
              <w:t xml:space="preserve">налогооблажения</w:t>
            </w:r>
            <w:r>
              <w:rPr>
                <w:sz w:val="18"/>
                <w:szCs w:val="18"/>
              </w:rPr>
              <w:t xml:space="preserve"> по которым признается имущество областных государственных учреждений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7,3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7,3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7,3</w:t>
            </w:r>
            <w:r/>
          </w:p>
        </w:tc>
      </w:tr>
      <w:tr>
        <w:trPr>
          <w:trHeight w:val="255"/>
        </w:trPr>
        <w:tc>
          <w:tcPr>
            <w:gridSpan w:val="9"/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499" w:type="dxa"/>
            <w:textDirection w:val="lrTb"/>
            <w:noWrap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ИТОГО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9208,9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9208,9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9208,9</w:t>
            </w:r>
            <w:r/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sectPr>
      <w:headerReference w:type="first" r:id="rId15"/>
      <w:footnotePr/>
      <w:endnotePr/>
      <w:type w:val="nextPage"/>
      <w:pgSz w:w="16840" w:h="11907" w:orient="landscape"/>
      <w:pgMar w:top="1701" w:right="1134" w:bottom="851" w:left="1134" w:header="567" w:footer="272" w:gutter="0"/>
      <w:pgNumType w:start="8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Symbol">
    <w:panose1 w:val="05010000000000000000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5"/>
      <w:rPr>
        <w:rStyle w:val="1029"/>
      </w:rPr>
      <w:framePr w:wrap="around" w:vAnchor="text" w:hAnchor="margin" w:xAlign="center" w:y="1"/>
    </w:pPr>
    <w:r/>
    <w:r/>
  </w:p>
  <w:p>
    <w:pPr>
      <w:pStyle w:val="102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809548046"/>
      <w:docPartObj>
        <w:docPartGallery w:val="Page Numbers (Top of Page)"/>
        <w:docPartUnique w:val="true"/>
      </w:docPartObj>
      <w:rPr/>
    </w:sdtPr>
    <w:sdtContent>
      <w:p>
        <w:pPr>
          <w:pStyle w:val="102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10</w:t>
        </w:r>
        <w:r>
          <w:fldChar w:fldCharType="end"/>
        </w:r>
        <w:r/>
      </w:p>
    </w:sdtContent>
  </w:sdt>
  <w:p>
    <w:pPr>
      <w:pStyle w:val="102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tabs>
        <w:tab w:val="left" w:pos="1072" w:leader="none"/>
        <w:tab w:val="center" w:pos="4677" w:leader="none"/>
      </w:tabs>
      <w:rPr>
        <w:b/>
        <w:lang w:val="en-US"/>
      </w:rPr>
    </w:pPr>
    <w:r>
      <w:rPr>
        <w:b/>
        <w:lang w:val="en-US"/>
      </w:rPr>
      <w:tab/>
    </w:r>
    <w:r>
      <w:rPr>
        <w:b/>
        <w:lang w:val="en-US"/>
      </w:rPr>
      <w:tab/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pStyle w:val="1024"/>
            <w:jc w:val="center"/>
            <w:spacing w:lineRule="exact" w:line="360"/>
            <w:rPr>
              <w:rFonts w:ascii="PT Astra Serif" w:hAnsi="PT Astra Serif"/>
              <w:b/>
              <w:bCs/>
              <w:sz w:val="28"/>
              <w:szCs w:val="28"/>
            </w:rPr>
          </w:pPr>
          <w:r>
            <w:rPr>
              <w:rFonts w:ascii="PT Astra Serif" w:hAnsi="PT Astra Serif"/>
              <w:b/>
              <w:bCs/>
              <w:sz w:val="28"/>
              <w:szCs w:val="28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1014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pStyle w:val="1015"/>
            <w:jc w:val="center"/>
            <w:tabs>
              <w:tab w:val="left" w:pos="3660" w:leader="none"/>
              <w:tab w:val="center" w:pos="4570" w:leader="none"/>
            </w:tabs>
            <w:rPr>
              <w:rFonts w:ascii="PT Astra Serif" w:hAnsi="PT Astra Serif"/>
              <w:spacing w:val="40"/>
              <w:sz w:val="28"/>
              <w:szCs w:val="36"/>
            </w:rPr>
          </w:pPr>
          <w:r>
            <w:rPr>
              <w:rFonts w:ascii="PT Astra Serif" w:hAnsi="PT Astra Serif"/>
              <w:spacing w:val="40"/>
              <w:sz w:val="36"/>
              <w:szCs w:val="36"/>
            </w:rPr>
            <w:t xml:space="preserve">ПРИКАЗ</w:t>
          </w:r>
          <w:r/>
        </w:p>
      </w:tc>
    </w:tr>
  </w:tbl>
  <w:p>
    <w:pPr>
      <w:pStyle w:val="1024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69954609"/>
      <w:docPartObj>
        <w:docPartGallery w:val="Page Numbers (Top of Page)"/>
        <w:docPartUnique w:val="true"/>
      </w:docPartObj>
      <w:rPr/>
    </w:sdtPr>
    <w:sdtContent>
      <w:p>
        <w:pPr>
          <w:pStyle w:val="1024"/>
          <w:jc w:val="center"/>
          <w:rPr>
            <w:sz w:val="26"/>
            <w:szCs w:val="26"/>
          </w:rPr>
        </w:pPr>
        <w:r>
          <w:rPr>
            <w:sz w:val="26"/>
            <w:szCs w:val="26"/>
          </w:rPr>
          <w:fldChar w:fldCharType="begin"/>
        </w:r>
        <w:r>
          <w:rPr>
            <w:sz w:val="26"/>
            <w:szCs w:val="26"/>
          </w:rPr>
          <w:instrText xml:space="preserve">PAGE   \* MERGEFORMAT</w:instrText>
        </w:r>
        <w:r>
          <w:rPr>
            <w:sz w:val="26"/>
            <w:szCs w:val="26"/>
          </w:rPr>
          <w:fldChar w:fldCharType="separate"/>
        </w:r>
        <w:r>
          <w:rPr>
            <w:sz w:val="26"/>
            <w:szCs w:val="26"/>
          </w:rPr>
          <w:t xml:space="preserve">3</w:t>
        </w:r>
        <w:r>
          <w:rPr>
            <w:sz w:val="26"/>
            <w:szCs w:val="26"/>
          </w:rPr>
          <w:fldChar w:fldCharType="end"/>
        </w:r>
        <w:r/>
      </w:p>
    </w:sdtContent>
  </w:sdt>
  <w:p>
    <w:pPr>
      <w:pStyle w:val="1024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  <w:t xml:space="preserve">2</w:t>
    </w:r>
    <w:r/>
  </w:p>
  <w:p>
    <w:pPr>
      <w:pStyle w:val="1024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013954856"/>
      <w:docPartObj>
        <w:docPartGallery w:val="Page Numbers (Top of Page)"/>
        <w:docPartUnique w:val="true"/>
      </w:docPartObj>
      <w:rPr>
        <w:rFonts w:ascii="PT Astra Serif" w:hAnsi="PT Astra Serif"/>
        <w:sz w:val="26"/>
        <w:szCs w:val="26"/>
      </w:rPr>
    </w:sdtPr>
    <w:sdtContent>
      <w:p>
        <w:pPr>
          <w:pStyle w:val="1024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5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1024"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63391749"/>
      <w:docPartObj>
        <w:docPartGallery w:val="Page Numbers (Top of Page)"/>
        <w:docPartUnique w:val="true"/>
      </w:docPartObj>
      <w:rPr/>
    </w:sdtPr>
    <w:sdtContent>
      <w:p>
        <w:pPr>
          <w:pStyle w:val="1024"/>
          <w:jc w:val="center"/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10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1024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904975197"/>
      <w:docPartObj>
        <w:docPartGallery w:val="Page Numbers (Top of Page)"/>
        <w:docPartUnique w:val="true"/>
      </w:docPartObj>
      <w:rPr/>
    </w:sdtPr>
    <w:sdtContent>
      <w:p>
        <w:pPr>
          <w:pStyle w:val="1024"/>
          <w:jc w:val="center"/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8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spacing w:after="120"/>
      <w:tabs>
        <w:tab w:val="left" w:pos="8296" w:leader="none"/>
      </w:tabs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6">
    <w:name w:val="Heading 1 Char"/>
    <w:basedOn w:val="1019"/>
    <w:link w:val="1013"/>
    <w:uiPriority w:val="9"/>
    <w:rPr>
      <w:rFonts w:ascii="Arial" w:hAnsi="Arial" w:cs="Arial" w:eastAsia="Arial"/>
      <w:sz w:val="40"/>
      <w:szCs w:val="40"/>
    </w:rPr>
  </w:style>
  <w:style w:type="character" w:styleId="847">
    <w:name w:val="Heading 2 Char"/>
    <w:basedOn w:val="1019"/>
    <w:link w:val="1014"/>
    <w:uiPriority w:val="9"/>
    <w:rPr>
      <w:rFonts w:ascii="Arial" w:hAnsi="Arial" w:cs="Arial" w:eastAsia="Arial"/>
      <w:sz w:val="34"/>
    </w:rPr>
  </w:style>
  <w:style w:type="character" w:styleId="848">
    <w:name w:val="Heading 3 Char"/>
    <w:basedOn w:val="1019"/>
    <w:link w:val="1015"/>
    <w:uiPriority w:val="9"/>
    <w:rPr>
      <w:rFonts w:ascii="Arial" w:hAnsi="Arial" w:cs="Arial" w:eastAsia="Arial"/>
      <w:sz w:val="30"/>
      <w:szCs w:val="30"/>
    </w:rPr>
  </w:style>
  <w:style w:type="character" w:styleId="849">
    <w:name w:val="Heading 4 Char"/>
    <w:basedOn w:val="1019"/>
    <w:link w:val="1016"/>
    <w:uiPriority w:val="9"/>
    <w:rPr>
      <w:rFonts w:ascii="Arial" w:hAnsi="Arial" w:cs="Arial" w:eastAsia="Arial"/>
      <w:b/>
      <w:bCs/>
      <w:sz w:val="26"/>
      <w:szCs w:val="26"/>
    </w:rPr>
  </w:style>
  <w:style w:type="character" w:styleId="850">
    <w:name w:val="Heading 5 Char"/>
    <w:basedOn w:val="1019"/>
    <w:link w:val="1017"/>
    <w:uiPriority w:val="9"/>
    <w:rPr>
      <w:rFonts w:ascii="Arial" w:hAnsi="Arial" w:cs="Arial" w:eastAsia="Arial"/>
      <w:b/>
      <w:bCs/>
      <w:sz w:val="24"/>
      <w:szCs w:val="24"/>
    </w:rPr>
  </w:style>
  <w:style w:type="character" w:styleId="851">
    <w:name w:val="Heading 6 Char"/>
    <w:basedOn w:val="1019"/>
    <w:link w:val="1018"/>
    <w:uiPriority w:val="9"/>
    <w:rPr>
      <w:rFonts w:ascii="Arial" w:hAnsi="Arial" w:cs="Arial" w:eastAsia="Arial"/>
      <w:b/>
      <w:bCs/>
      <w:sz w:val="22"/>
      <w:szCs w:val="22"/>
    </w:rPr>
  </w:style>
  <w:style w:type="paragraph" w:styleId="852">
    <w:name w:val="Heading 7"/>
    <w:basedOn w:val="1012"/>
    <w:next w:val="1012"/>
    <w:link w:val="85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53">
    <w:name w:val="Heading 7 Char"/>
    <w:basedOn w:val="1019"/>
    <w:link w:val="85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54">
    <w:name w:val="Heading 8"/>
    <w:basedOn w:val="1012"/>
    <w:next w:val="1012"/>
    <w:link w:val="85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55">
    <w:name w:val="Heading 8 Char"/>
    <w:basedOn w:val="1019"/>
    <w:link w:val="854"/>
    <w:uiPriority w:val="9"/>
    <w:rPr>
      <w:rFonts w:ascii="Arial" w:hAnsi="Arial" w:cs="Arial" w:eastAsia="Arial"/>
      <w:i/>
      <w:iCs/>
      <w:sz w:val="22"/>
      <w:szCs w:val="22"/>
    </w:rPr>
  </w:style>
  <w:style w:type="paragraph" w:styleId="856">
    <w:name w:val="Heading 9"/>
    <w:basedOn w:val="1012"/>
    <w:next w:val="1012"/>
    <w:link w:val="85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57">
    <w:name w:val="Heading 9 Char"/>
    <w:basedOn w:val="1019"/>
    <w:link w:val="856"/>
    <w:uiPriority w:val="9"/>
    <w:rPr>
      <w:rFonts w:ascii="Arial" w:hAnsi="Arial" w:cs="Arial" w:eastAsia="Arial"/>
      <w:i/>
      <w:iCs/>
      <w:sz w:val="21"/>
      <w:szCs w:val="21"/>
    </w:rPr>
  </w:style>
  <w:style w:type="paragraph" w:styleId="858">
    <w:name w:val="Title"/>
    <w:basedOn w:val="1012"/>
    <w:next w:val="1012"/>
    <w:link w:val="85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59">
    <w:name w:val="Title Char"/>
    <w:basedOn w:val="1019"/>
    <w:link w:val="858"/>
    <w:uiPriority w:val="10"/>
    <w:rPr>
      <w:sz w:val="48"/>
      <w:szCs w:val="48"/>
    </w:rPr>
  </w:style>
  <w:style w:type="paragraph" w:styleId="860">
    <w:name w:val="Subtitle"/>
    <w:basedOn w:val="1012"/>
    <w:next w:val="1012"/>
    <w:link w:val="861"/>
    <w:qFormat/>
    <w:uiPriority w:val="11"/>
    <w:rPr>
      <w:sz w:val="24"/>
      <w:szCs w:val="24"/>
    </w:rPr>
    <w:pPr>
      <w:spacing w:after="200" w:before="200"/>
    </w:pPr>
  </w:style>
  <w:style w:type="character" w:styleId="861">
    <w:name w:val="Subtitle Char"/>
    <w:basedOn w:val="1019"/>
    <w:link w:val="860"/>
    <w:uiPriority w:val="11"/>
    <w:rPr>
      <w:sz w:val="24"/>
      <w:szCs w:val="24"/>
    </w:rPr>
  </w:style>
  <w:style w:type="paragraph" w:styleId="862">
    <w:name w:val="Quote"/>
    <w:basedOn w:val="1012"/>
    <w:next w:val="1012"/>
    <w:link w:val="863"/>
    <w:qFormat/>
    <w:uiPriority w:val="29"/>
    <w:rPr>
      <w:i/>
    </w:rPr>
    <w:pPr>
      <w:ind w:left="720" w:right="720"/>
    </w:pPr>
  </w:style>
  <w:style w:type="character" w:styleId="863">
    <w:name w:val="Quote Char"/>
    <w:link w:val="862"/>
    <w:uiPriority w:val="29"/>
    <w:rPr>
      <w:i/>
    </w:rPr>
  </w:style>
  <w:style w:type="paragraph" w:styleId="864">
    <w:name w:val="Intense Quote"/>
    <w:basedOn w:val="1012"/>
    <w:next w:val="1012"/>
    <w:link w:val="86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65">
    <w:name w:val="Intense Quote Char"/>
    <w:link w:val="864"/>
    <w:uiPriority w:val="30"/>
    <w:rPr>
      <w:i/>
    </w:rPr>
  </w:style>
  <w:style w:type="character" w:styleId="866">
    <w:name w:val="Header Char"/>
    <w:basedOn w:val="1019"/>
    <w:link w:val="1024"/>
    <w:uiPriority w:val="99"/>
  </w:style>
  <w:style w:type="character" w:styleId="867">
    <w:name w:val="Footer Char"/>
    <w:basedOn w:val="1019"/>
    <w:link w:val="1025"/>
    <w:uiPriority w:val="99"/>
  </w:style>
  <w:style w:type="paragraph" w:styleId="868">
    <w:name w:val="Caption"/>
    <w:basedOn w:val="1012"/>
    <w:next w:val="101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69">
    <w:name w:val="Caption Char"/>
    <w:basedOn w:val="868"/>
    <w:link w:val="1025"/>
    <w:uiPriority w:val="99"/>
  </w:style>
  <w:style w:type="table" w:styleId="870">
    <w:name w:val="Table Grid Light"/>
    <w:basedOn w:val="102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1">
    <w:name w:val="Plain Table 1"/>
    <w:basedOn w:val="102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2">
    <w:name w:val="Plain Table 2"/>
    <w:basedOn w:val="102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3">
    <w:name w:val="Plain Table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4">
    <w:name w:val="Plain Table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Plain Table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76">
    <w:name w:val="Grid Table 1 Light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Grid Table 1 Light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Grid Table 1 Light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Grid Table 1 Light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1 Light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Grid Table 1 Light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Grid Table 1 Light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Grid Table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84">
    <w:name w:val="Grid Table 2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Grid Table 2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Grid Table 2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Grid Table 2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Grid Table 2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Grid Table 2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Grid Table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Grid Table 3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Grid Table 3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Grid Table 3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Grid Table 3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Grid Table 3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6">
    <w:name w:val="Grid Table 3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7">
    <w:name w:val="Grid Table 4"/>
    <w:basedOn w:val="10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98">
    <w:name w:val="Grid Table 4 - Accent 1"/>
    <w:basedOn w:val="10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99">
    <w:name w:val="Grid Table 4 - Accent 2"/>
    <w:basedOn w:val="10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900">
    <w:name w:val="Grid Table 4 - Accent 3"/>
    <w:basedOn w:val="10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901">
    <w:name w:val="Grid Table 4 - Accent 4"/>
    <w:basedOn w:val="10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902">
    <w:name w:val="Grid Table 4 - Accent 5"/>
    <w:basedOn w:val="10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903">
    <w:name w:val="Grid Table 4 - Accent 6"/>
    <w:basedOn w:val="10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904">
    <w:name w:val="Grid Table 5 Dark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905">
    <w:name w:val="Grid Table 5 Dark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906">
    <w:name w:val="Grid Table 5 Dark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907">
    <w:name w:val="Grid Table 5 Dark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908">
    <w:name w:val="Grid Table 5 Dark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909">
    <w:name w:val="Grid Table 5 Dark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910">
    <w:name w:val="Grid Table 5 Dark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911">
    <w:name w:val="Grid Table 6 Colorful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2">
    <w:name w:val="Grid Table 6 Colorful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3">
    <w:name w:val="Grid Table 6 Colorful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4">
    <w:name w:val="Grid Table 6 Colorful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15">
    <w:name w:val="Grid Table 6 Colorful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6">
    <w:name w:val="Grid Table 6 Colorful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17">
    <w:name w:val="Grid Table 6 Colorful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18">
    <w:name w:val="Grid Table 7 Colorful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19">
    <w:name w:val="Grid Table 7 Colorful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20">
    <w:name w:val="Grid Table 7 Colorful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21">
    <w:name w:val="Grid Table 7 Colorful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22">
    <w:name w:val="Grid Table 7 Colorful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23">
    <w:name w:val="Grid Table 7 Colorful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24">
    <w:name w:val="Grid Table 7 Colorful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25">
    <w:name w:val="List Table 1 Light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26">
    <w:name w:val="List Table 1 Light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27">
    <w:name w:val="List Table 1 Light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28">
    <w:name w:val="List Table 1 Light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29">
    <w:name w:val="List Table 1 Light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30">
    <w:name w:val="List Table 1 Light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31">
    <w:name w:val="List Table 1 Light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32">
    <w:name w:val="List Table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933">
    <w:name w:val="List Table 2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34">
    <w:name w:val="List Table 2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35">
    <w:name w:val="List Table 2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36">
    <w:name w:val="List Table 2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37">
    <w:name w:val="List Table 2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38">
    <w:name w:val="List Table 2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39">
    <w:name w:val="List Table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3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3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3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3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3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3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4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4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4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List Table 4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>
    <w:name w:val="List Table 5 Dark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4">
    <w:name w:val="List Table 5 Dark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5">
    <w:name w:val="List Table 5 Dark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6">
    <w:name w:val="List Table 5 Dark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7">
    <w:name w:val="List Table 5 Dark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8">
    <w:name w:val="List Table 5 Dark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9">
    <w:name w:val="List Table 5 Dark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60">
    <w:name w:val="List Table 6 Colorful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61">
    <w:name w:val="List Table 6 Colorful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62">
    <w:name w:val="List Table 6 Colorful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63">
    <w:name w:val="List Table 6 Colorful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64">
    <w:name w:val="List Table 6 Colorful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65">
    <w:name w:val="List Table 6 Colorful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66">
    <w:name w:val="List Table 6 Colorful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67">
    <w:name w:val="List Table 7 Colorful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68">
    <w:name w:val="List Table 7 Colorful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69">
    <w:name w:val="List Table 7 Colorful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70">
    <w:name w:val="List Table 7 Colorful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71">
    <w:name w:val="List Table 7 Colorful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72">
    <w:name w:val="List Table 7 Colorful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73">
    <w:name w:val="List Table 7 Colorful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74">
    <w:name w:val="Lined - Accent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75">
    <w:name w:val="Lined - Accent 1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76">
    <w:name w:val="Lined - Accent 2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77">
    <w:name w:val="Lined - Accent 3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78">
    <w:name w:val="Lined - Accent 4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79">
    <w:name w:val="Lined - Accent 5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80">
    <w:name w:val="Lined - Accent 6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81">
    <w:name w:val="Bordered &amp; Lined - Accent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82">
    <w:name w:val="Bordered &amp; Lined - Accent 1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83">
    <w:name w:val="Bordered &amp; Lined - Accent 2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84">
    <w:name w:val="Bordered &amp; Lined - Accent 3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85">
    <w:name w:val="Bordered &amp; Lined - Accent 4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86">
    <w:name w:val="Bordered &amp; Lined - Accent 5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87">
    <w:name w:val="Bordered &amp; Lined - Accent 6"/>
    <w:basedOn w:val="10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88">
    <w:name w:val="Bordered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89">
    <w:name w:val="Bordered - Accent 1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90">
    <w:name w:val="Bordered - Accent 2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91">
    <w:name w:val="Bordered - Accent 3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92">
    <w:name w:val="Bordered - Accent 4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93">
    <w:name w:val="Bordered - Accent 5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94">
    <w:name w:val="Bordered - Accent 6"/>
    <w:basedOn w:val="10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95">
    <w:name w:val="footnote text"/>
    <w:basedOn w:val="1012"/>
    <w:link w:val="996"/>
    <w:uiPriority w:val="99"/>
    <w:semiHidden/>
    <w:unhideWhenUsed/>
    <w:rPr>
      <w:sz w:val="18"/>
    </w:rPr>
    <w:pPr>
      <w:spacing w:lineRule="auto" w:line="240" w:after="40"/>
    </w:pPr>
  </w:style>
  <w:style w:type="character" w:styleId="996">
    <w:name w:val="Footnote Text Char"/>
    <w:link w:val="995"/>
    <w:uiPriority w:val="99"/>
    <w:rPr>
      <w:sz w:val="18"/>
    </w:rPr>
  </w:style>
  <w:style w:type="character" w:styleId="997">
    <w:name w:val="footnote reference"/>
    <w:basedOn w:val="1019"/>
    <w:uiPriority w:val="99"/>
    <w:unhideWhenUsed/>
    <w:rPr>
      <w:vertAlign w:val="superscript"/>
    </w:rPr>
  </w:style>
  <w:style w:type="paragraph" w:styleId="998">
    <w:name w:val="endnote text"/>
    <w:basedOn w:val="1012"/>
    <w:link w:val="999"/>
    <w:uiPriority w:val="99"/>
    <w:semiHidden/>
    <w:unhideWhenUsed/>
    <w:rPr>
      <w:sz w:val="20"/>
    </w:rPr>
    <w:pPr>
      <w:spacing w:lineRule="auto" w:line="240" w:after="0"/>
    </w:pPr>
  </w:style>
  <w:style w:type="character" w:styleId="999">
    <w:name w:val="Endnote Text Char"/>
    <w:link w:val="998"/>
    <w:uiPriority w:val="99"/>
    <w:rPr>
      <w:sz w:val="20"/>
    </w:rPr>
  </w:style>
  <w:style w:type="character" w:styleId="1000">
    <w:name w:val="endnote reference"/>
    <w:basedOn w:val="1019"/>
    <w:uiPriority w:val="99"/>
    <w:semiHidden/>
    <w:unhideWhenUsed/>
    <w:rPr>
      <w:vertAlign w:val="superscript"/>
    </w:rPr>
  </w:style>
  <w:style w:type="paragraph" w:styleId="1001">
    <w:name w:val="toc 1"/>
    <w:basedOn w:val="1012"/>
    <w:next w:val="1012"/>
    <w:uiPriority w:val="39"/>
    <w:unhideWhenUsed/>
    <w:pPr>
      <w:ind w:left="0" w:right="0" w:firstLine="0"/>
      <w:spacing w:after="57"/>
    </w:pPr>
  </w:style>
  <w:style w:type="paragraph" w:styleId="1002">
    <w:name w:val="toc 2"/>
    <w:basedOn w:val="1012"/>
    <w:next w:val="1012"/>
    <w:uiPriority w:val="39"/>
    <w:unhideWhenUsed/>
    <w:pPr>
      <w:ind w:left="283" w:right="0" w:firstLine="0"/>
      <w:spacing w:after="57"/>
    </w:pPr>
  </w:style>
  <w:style w:type="paragraph" w:styleId="1003">
    <w:name w:val="toc 3"/>
    <w:basedOn w:val="1012"/>
    <w:next w:val="1012"/>
    <w:uiPriority w:val="39"/>
    <w:unhideWhenUsed/>
    <w:pPr>
      <w:ind w:left="567" w:right="0" w:firstLine="0"/>
      <w:spacing w:after="57"/>
    </w:pPr>
  </w:style>
  <w:style w:type="paragraph" w:styleId="1004">
    <w:name w:val="toc 4"/>
    <w:basedOn w:val="1012"/>
    <w:next w:val="1012"/>
    <w:uiPriority w:val="39"/>
    <w:unhideWhenUsed/>
    <w:pPr>
      <w:ind w:left="850" w:right="0" w:firstLine="0"/>
      <w:spacing w:after="57"/>
    </w:pPr>
  </w:style>
  <w:style w:type="paragraph" w:styleId="1005">
    <w:name w:val="toc 5"/>
    <w:basedOn w:val="1012"/>
    <w:next w:val="1012"/>
    <w:uiPriority w:val="39"/>
    <w:unhideWhenUsed/>
    <w:pPr>
      <w:ind w:left="1134" w:right="0" w:firstLine="0"/>
      <w:spacing w:after="57"/>
    </w:pPr>
  </w:style>
  <w:style w:type="paragraph" w:styleId="1006">
    <w:name w:val="toc 6"/>
    <w:basedOn w:val="1012"/>
    <w:next w:val="1012"/>
    <w:uiPriority w:val="39"/>
    <w:unhideWhenUsed/>
    <w:pPr>
      <w:ind w:left="1417" w:right="0" w:firstLine="0"/>
      <w:spacing w:after="57"/>
    </w:pPr>
  </w:style>
  <w:style w:type="paragraph" w:styleId="1007">
    <w:name w:val="toc 7"/>
    <w:basedOn w:val="1012"/>
    <w:next w:val="1012"/>
    <w:uiPriority w:val="39"/>
    <w:unhideWhenUsed/>
    <w:pPr>
      <w:ind w:left="1701" w:right="0" w:firstLine="0"/>
      <w:spacing w:after="57"/>
    </w:pPr>
  </w:style>
  <w:style w:type="paragraph" w:styleId="1008">
    <w:name w:val="toc 8"/>
    <w:basedOn w:val="1012"/>
    <w:next w:val="1012"/>
    <w:uiPriority w:val="39"/>
    <w:unhideWhenUsed/>
    <w:pPr>
      <w:ind w:left="1984" w:right="0" w:firstLine="0"/>
      <w:spacing w:after="57"/>
    </w:pPr>
  </w:style>
  <w:style w:type="paragraph" w:styleId="1009">
    <w:name w:val="toc 9"/>
    <w:basedOn w:val="1012"/>
    <w:next w:val="1012"/>
    <w:uiPriority w:val="39"/>
    <w:unhideWhenUsed/>
    <w:pPr>
      <w:ind w:left="2268" w:right="0" w:firstLine="0"/>
      <w:spacing w:after="57"/>
    </w:pPr>
  </w:style>
  <w:style w:type="paragraph" w:styleId="1010">
    <w:name w:val="TOC Heading"/>
    <w:uiPriority w:val="39"/>
    <w:unhideWhenUsed/>
  </w:style>
  <w:style w:type="paragraph" w:styleId="1011">
    <w:name w:val="table of figures"/>
    <w:basedOn w:val="1012"/>
    <w:next w:val="1012"/>
    <w:uiPriority w:val="99"/>
    <w:unhideWhenUsed/>
    <w:pPr>
      <w:spacing w:after="0" w:afterAutospacing="0"/>
    </w:pPr>
  </w:style>
  <w:style w:type="paragraph" w:styleId="1012" w:default="1">
    <w:name w:val="Normal"/>
    <w:qFormat/>
  </w:style>
  <w:style w:type="paragraph" w:styleId="1013">
    <w:name w:val="Heading 1"/>
    <w:basedOn w:val="1022"/>
    <w:next w:val="1022"/>
    <w:qFormat/>
    <w:rPr>
      <w:rFonts w:ascii="Tahoma" w:hAnsi="Tahoma"/>
      <w:sz w:val="24"/>
    </w:rPr>
    <w:pPr>
      <w:keepNext/>
      <w:outlineLvl w:val="0"/>
    </w:pPr>
  </w:style>
  <w:style w:type="paragraph" w:styleId="1014">
    <w:name w:val="Heading 2"/>
    <w:basedOn w:val="1022"/>
    <w:next w:val="1022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1015">
    <w:name w:val="Heading 3"/>
    <w:basedOn w:val="1022"/>
    <w:next w:val="1022"/>
    <w:link w:val="1055"/>
    <w:qFormat/>
    <w:uiPriority w:val="9"/>
    <w:rPr>
      <w:rFonts w:ascii="Tahoma" w:hAnsi="Tahoma"/>
      <w:b/>
      <w:sz w:val="32"/>
    </w:rPr>
    <w:pPr>
      <w:keepNext/>
      <w:outlineLvl w:val="2"/>
    </w:pPr>
  </w:style>
  <w:style w:type="paragraph" w:styleId="1016">
    <w:name w:val="Heading 4"/>
    <w:basedOn w:val="1022"/>
    <w:next w:val="1022"/>
    <w:qFormat/>
    <w:rPr>
      <w:sz w:val="28"/>
    </w:rPr>
    <w:pPr>
      <w:jc w:val="both"/>
      <w:keepNext/>
      <w:outlineLvl w:val="3"/>
    </w:pPr>
  </w:style>
  <w:style w:type="paragraph" w:styleId="1017">
    <w:name w:val="Heading 5"/>
    <w:basedOn w:val="1022"/>
    <w:next w:val="1022"/>
    <w:qFormat/>
    <w:rPr>
      <w:sz w:val="28"/>
    </w:rPr>
    <w:pPr>
      <w:ind w:firstLine="567"/>
      <w:keepNext/>
      <w:outlineLvl w:val="4"/>
    </w:pPr>
  </w:style>
  <w:style w:type="paragraph" w:styleId="1018">
    <w:name w:val="Heading 6"/>
    <w:basedOn w:val="1022"/>
    <w:next w:val="1022"/>
    <w:qFormat/>
    <w:rPr>
      <w:sz w:val="28"/>
    </w:rPr>
    <w:pPr>
      <w:ind w:left="7200"/>
      <w:jc w:val="both"/>
      <w:keepNext/>
      <w:outlineLvl w:val="5"/>
    </w:pPr>
  </w:style>
  <w:style w:type="character" w:styleId="1019" w:default="1">
    <w:name w:val="Default Paragraph Font"/>
    <w:uiPriority w:val="1"/>
    <w:semiHidden/>
    <w:unhideWhenUsed/>
  </w:style>
  <w:style w:type="table" w:styleId="10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21" w:default="1">
    <w:name w:val="No List"/>
    <w:uiPriority w:val="99"/>
    <w:semiHidden/>
    <w:unhideWhenUsed/>
  </w:style>
  <w:style w:type="paragraph" w:styleId="1022" w:customStyle="1">
    <w:name w:val="Обычный1"/>
  </w:style>
  <w:style w:type="character" w:styleId="1023" w:customStyle="1">
    <w:name w:val="Основной шрифт абзаца1"/>
  </w:style>
  <w:style w:type="paragraph" w:styleId="1024">
    <w:name w:val="Header"/>
    <w:basedOn w:val="1022"/>
    <w:link w:val="1052"/>
    <w:uiPriority w:val="99"/>
    <w:pPr>
      <w:tabs>
        <w:tab w:val="center" w:pos="4153" w:leader="none"/>
        <w:tab w:val="right" w:pos="8306" w:leader="none"/>
      </w:tabs>
    </w:pPr>
  </w:style>
  <w:style w:type="paragraph" w:styleId="1025">
    <w:name w:val="Footer"/>
    <w:basedOn w:val="1022"/>
    <w:link w:val="1054"/>
    <w:uiPriority w:val="99"/>
    <w:pPr>
      <w:tabs>
        <w:tab w:val="center" w:pos="4153" w:leader="none"/>
        <w:tab w:val="right" w:pos="8306" w:leader="none"/>
      </w:tabs>
    </w:pPr>
  </w:style>
  <w:style w:type="paragraph" w:styleId="1026">
    <w:name w:val="Body Text Indent"/>
    <w:basedOn w:val="1022"/>
    <w:rPr>
      <w:sz w:val="28"/>
    </w:rPr>
    <w:pPr>
      <w:ind w:firstLine="426"/>
      <w:jc w:val="both"/>
    </w:pPr>
  </w:style>
  <w:style w:type="paragraph" w:styleId="1027" w:customStyle="1">
    <w:name w:val="Основной текст1"/>
    <w:basedOn w:val="1022"/>
    <w:rPr>
      <w:sz w:val="28"/>
    </w:rPr>
    <w:pPr>
      <w:jc w:val="both"/>
      <w:spacing w:lineRule="auto" w:line="360"/>
    </w:pPr>
  </w:style>
  <w:style w:type="paragraph" w:styleId="1028">
    <w:name w:val="Body Text Indent 2"/>
    <w:basedOn w:val="1022"/>
    <w:rPr>
      <w:sz w:val="28"/>
    </w:rPr>
    <w:pPr>
      <w:ind w:firstLine="720"/>
      <w:jc w:val="both"/>
    </w:pPr>
  </w:style>
  <w:style w:type="character" w:styleId="1029">
    <w:name w:val="page number"/>
    <w:basedOn w:val="1019"/>
  </w:style>
  <w:style w:type="paragraph" w:styleId="1030" w:customStyle="1">
    <w:name w:val="ConsNonformat"/>
    <w:rPr>
      <w:rFonts w:ascii="Courier New" w:hAnsi="Courier New"/>
    </w:rPr>
    <w:pPr>
      <w:ind w:right="19772"/>
    </w:pPr>
  </w:style>
  <w:style w:type="paragraph" w:styleId="1031" w:customStyle="1">
    <w:name w:val="ConsTitle"/>
    <w:rPr>
      <w:rFonts w:ascii="Arial" w:hAnsi="Arial"/>
      <w:b/>
      <w:sz w:val="16"/>
    </w:rPr>
    <w:pPr>
      <w:ind w:right="19772"/>
    </w:pPr>
  </w:style>
  <w:style w:type="table" w:styleId="1032">
    <w:name w:val="Table Grid"/>
    <w:basedOn w:val="1020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33">
    <w:name w:val="Balloon Text"/>
    <w:basedOn w:val="1012"/>
    <w:semiHidden/>
    <w:rPr>
      <w:rFonts w:ascii="Tahoma" w:hAnsi="Tahoma" w:cs="Tahoma"/>
      <w:sz w:val="16"/>
      <w:szCs w:val="16"/>
    </w:rPr>
  </w:style>
  <w:style w:type="character" w:styleId="1034">
    <w:name w:val="Strong"/>
    <w:qFormat/>
    <w:rPr>
      <w:b/>
      <w:bCs/>
    </w:rPr>
  </w:style>
  <w:style w:type="paragraph" w:styleId="1035" w:customStyle="1">
    <w:name w:val="Знак Знак Знак Знак Знак Знак Знак Знак Знак Знак Знак Знак Знак Знак Знак1 Знак Знак Знак Знак"/>
    <w:basedOn w:val="1012"/>
    <w:next w:val="1014"/>
    <w:rPr>
      <w:sz w:val="24"/>
      <w:lang w:val="en-US" w:eastAsia="en-US"/>
    </w:rPr>
    <w:pPr>
      <w:spacing w:lineRule="exact" w:line="240" w:after="160"/>
    </w:pPr>
  </w:style>
  <w:style w:type="paragraph" w:styleId="1036" w:customStyle="1">
    <w:name w:val="Знак1 Знак Знак Знак"/>
    <w:basedOn w:val="1012"/>
    <w:rPr>
      <w:rFonts w:ascii="Verdana" w:hAnsi="Verdana" w:cs="Verdana"/>
      <w:lang w:val="en-US" w:eastAsia="en-US"/>
    </w:rPr>
  </w:style>
  <w:style w:type="character" w:styleId="1037" w:customStyle="1">
    <w:name w:val="apple-converted-space"/>
    <w:basedOn w:val="1019"/>
  </w:style>
  <w:style w:type="character" w:styleId="1038">
    <w:name w:val="Hyperlink"/>
    <w:rPr>
      <w:color w:val="0000FF"/>
      <w:u w:val="single"/>
    </w:rPr>
  </w:style>
  <w:style w:type="paragraph" w:styleId="1039" w:customStyle="1">
    <w:name w:val="Исполнитель"/>
    <w:basedOn w:val="1012"/>
  </w:style>
  <w:style w:type="paragraph" w:styleId="1040" w:customStyle="1">
    <w:name w:val="a"/>
    <w:basedOn w:val="1012"/>
    <w:rPr>
      <w:sz w:val="24"/>
      <w:szCs w:val="24"/>
    </w:rPr>
    <w:pPr>
      <w:spacing w:after="100" w:afterAutospacing="1" w:before="100" w:beforeAutospacing="1"/>
    </w:pPr>
  </w:style>
  <w:style w:type="paragraph" w:styleId="1041" w:customStyle="1">
    <w:name w:val="Абзац списка1"/>
    <w:basedOn w:val="1012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42">
    <w:name w:val="Document Map"/>
    <w:basedOn w:val="1012"/>
    <w:semiHidden/>
    <w:rPr>
      <w:rFonts w:ascii="Tahoma" w:hAnsi="Tahoma" w:cs="Tahoma"/>
    </w:rPr>
    <w:pPr>
      <w:shd w:val="clear" w:fill="000080" w:color="auto"/>
    </w:pPr>
  </w:style>
  <w:style w:type="paragraph" w:styleId="1043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44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45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46">
    <w:name w:val="Body Text"/>
    <w:basedOn w:val="1012"/>
    <w:pPr>
      <w:spacing w:after="120"/>
    </w:pPr>
  </w:style>
  <w:style w:type="paragraph" w:styleId="1047">
    <w:name w:val="List Paragraph"/>
    <w:basedOn w:val="1012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48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character" w:styleId="1049" w:customStyle="1">
    <w:name w:val="Основной текст_"/>
    <w:basedOn w:val="1019"/>
    <w:link w:val="1050"/>
    <w:rPr>
      <w:shd w:val="clear" w:fill="FFFFFF" w:color="auto"/>
    </w:rPr>
  </w:style>
  <w:style w:type="paragraph" w:styleId="1050" w:customStyle="1">
    <w:name w:val="Основной текст2"/>
    <w:basedOn w:val="1012"/>
    <w:link w:val="1049"/>
    <w:pPr>
      <w:spacing w:lineRule="atLeast" w:line="0"/>
      <w:shd w:val="clear" w:fill="FFFFFF" w:color="auto"/>
      <w:widowControl w:val="off"/>
    </w:pPr>
  </w:style>
  <w:style w:type="paragraph" w:styleId="1051" w:customStyle="1">
    <w:name w:val="ConsPlusCell"/>
    <w:uiPriority w:val="99"/>
    <w:rPr>
      <w:rFonts w:ascii="Calibri" w:hAnsi="Calibri" w:cs="Calibri"/>
      <w:sz w:val="22"/>
      <w:szCs w:val="22"/>
    </w:rPr>
    <w:pPr>
      <w:widowControl w:val="off"/>
    </w:pPr>
  </w:style>
  <w:style w:type="character" w:styleId="1052" w:customStyle="1">
    <w:name w:val="Верхний колонтитул Знак"/>
    <w:basedOn w:val="1019"/>
    <w:link w:val="1024"/>
    <w:uiPriority w:val="99"/>
  </w:style>
  <w:style w:type="paragraph" w:styleId="1053" w:customStyle="1">
    <w:name w:val="Default"/>
    <w:rPr>
      <w:color w:val="000000"/>
      <w:sz w:val="24"/>
      <w:szCs w:val="24"/>
    </w:rPr>
  </w:style>
  <w:style w:type="character" w:styleId="1054" w:customStyle="1">
    <w:name w:val="Нижний колонтитул Знак"/>
    <w:link w:val="1025"/>
    <w:uiPriority w:val="99"/>
  </w:style>
  <w:style w:type="character" w:styleId="1055" w:customStyle="1">
    <w:name w:val="Заголовок 3 Знак"/>
    <w:basedOn w:val="1019"/>
    <w:link w:val="1015"/>
    <w:uiPriority w:val="9"/>
    <w:rPr>
      <w:rFonts w:ascii="Tahoma" w:hAnsi="Tahoma"/>
      <w:b/>
      <w:sz w:val="32"/>
    </w:rPr>
  </w:style>
  <w:style w:type="paragraph" w:styleId="1056" w:customStyle="1">
    <w:name w:val="ConsPlusNormal"/>
    <w:rPr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footer" Target="footer1.xml" /><Relationship Id="rId17" Type="http://schemas.openxmlformats.org/officeDocument/2006/relationships/customXml" Target="../customXml/item1.xml" /><Relationship Id="rId18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EC5EB5CA-611A-4EE2-970D-AD3491005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39</cp:revision>
  <dcterms:created xsi:type="dcterms:W3CDTF">2021-12-21T06:29:00Z</dcterms:created>
  <dcterms:modified xsi:type="dcterms:W3CDTF">2022-03-04T04:22:22Z</dcterms:modified>
</cp:coreProperties>
</file>