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15.03.2022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</w:t>
      </w:r>
      <w:r>
        <w:rPr>
          <w:rFonts w:ascii="PT Astra Serif" w:hAnsi="PT Astra Serif"/>
          <w:bCs/>
          <w:sz w:val="26"/>
          <w:szCs w:val="26"/>
        </w:rPr>
        <w:t xml:space="preserve">№</w:t>
      </w:r>
      <w:r>
        <w:rPr>
          <w:rFonts w:ascii="PT Astra Serif" w:hAnsi="PT Astra Serif"/>
          <w:bCs/>
          <w:sz w:val="26"/>
          <w:szCs w:val="26"/>
        </w:rPr>
        <w:t xml:space="preserve"> 0038/01-07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орядка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 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на финансовое обеспечение затрат на </w:t>
      </w:r>
      <w:r>
        <w:rPr>
          <w:rFonts w:ascii="PT Astra Serif" w:hAnsi="PT Astra Serif"/>
          <w:sz w:val="26"/>
          <w:szCs w:val="26"/>
        </w:rPr>
        <w:t xml:space="preserve">проведение</w:t>
      </w:r>
      <w:r>
        <w:rPr>
          <w:rFonts w:ascii="PT Astra Serif" w:hAnsi="PT Astra Serif"/>
          <w:sz w:val="26"/>
          <w:szCs w:val="26"/>
        </w:rPr>
        <w:t xml:space="preserve"> работ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сохранению  </w:t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муниципальным правовым актам, устанавливающим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Утвердить Порядок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 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проведение работ </w:t>
      </w:r>
      <w:r>
        <w:rPr>
          <w:rFonts w:ascii="PT Astra Serif" w:hAnsi="PT Astra Serif"/>
          <w:sz w:val="26"/>
          <w:szCs w:val="26"/>
        </w:rPr>
        <w:t xml:space="preserve">по сохранению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(разработка проектной документации на капитальный ремонт)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согласно приложению к настоящему приказу.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опубликования, распространяется на правоотношения, возникшие с 1 января 202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года.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c>
          <w:tcPr>
            <w:tcW w:w="3284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Е.Е.Ярославцева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</w:p>
        </w:tc>
        <w:tc>
          <w:tcPr>
            <w:tcW w:w="3284" w:type="dxa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pgSz w:w="11906" w:h="16838"/>
          <w:pgMar w:top="1134" w:right="567" w:bottom="1134" w:left="1701" w:header="567" w:footer="709" w:gutter="0"/>
          <w:cols w:space="708"/>
          <w:docGrid w:linePitch="360"/>
          <w:titlePg/>
        </w:sectPr>
      </w:pPr>
    </w:p>
    <w:p>
      <w:pPr>
        <w:ind w:left="4821"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приказом Комитета по охране объектов культурного наследия  Томской области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15.03.2022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0038/01-07</w:t>
      </w:r>
    </w:p>
    <w:p>
      <w:pPr>
        <w:rPr>
          <w:rFonts w:ascii="PT Astra Serif" w:hAnsi="PT Astra Serif"/>
          <w:sz w:val="26"/>
          <w:szCs w:val="26"/>
        </w:rPr>
      </w:pPr>
    </w:p>
    <w:p>
      <w:pPr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проведение работ </w:t>
      </w:r>
      <w:r>
        <w:rPr>
          <w:rFonts w:ascii="PT Astra Serif" w:hAnsi="PT Astra Serif"/>
          <w:sz w:val="26"/>
          <w:szCs w:val="26"/>
        </w:rPr>
        <w:t xml:space="preserve">по сохранению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</w:t>
      </w:r>
      <w:r>
        <w:rPr>
          <w:rFonts w:ascii="PT Astra Serif" w:hAnsi="PT Astra Serif"/>
          <w:sz w:val="26"/>
          <w:szCs w:val="26"/>
        </w:rPr>
        <w:t xml:space="preserve">и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Настоящий Порядок устанавливает правила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 использованию памятников истории и 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субсидии)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отношении которого Комитет по охране объектов культурного наследия Томской области (далее – Комитет) осуществляет функции и полномочия учредителя, </w:t>
      </w:r>
      <w:r>
        <w:rPr>
          <w:rFonts w:ascii="PT Astra Serif" w:hAnsi="PT Astra Serif"/>
          <w:sz w:val="26"/>
          <w:szCs w:val="26"/>
        </w:rPr>
        <w:t xml:space="preserve">субсидии </w:t>
      </w:r>
      <w:r>
        <w:rPr>
          <w:rFonts w:ascii="PT Astra Serif" w:hAnsi="PT Astra Serif"/>
          <w:sz w:val="26"/>
          <w:szCs w:val="26"/>
        </w:rPr>
        <w:t xml:space="preserve">из</w:t>
      </w:r>
      <w:r>
        <w:rPr>
          <w:rFonts w:ascii="PT Astra Serif" w:hAnsi="PT Astra Serif"/>
          <w:sz w:val="26"/>
          <w:szCs w:val="26"/>
        </w:rPr>
        <w:t xml:space="preserve">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проведение работ </w:t>
      </w:r>
      <w:r>
        <w:rPr>
          <w:rFonts w:ascii="PT Astra Serif" w:hAnsi="PT Astra Serif"/>
          <w:sz w:val="26"/>
          <w:szCs w:val="26"/>
        </w:rPr>
        <w:t xml:space="preserve">по сохранению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«Лечебница городская</w:t>
      </w:r>
      <w:r>
        <w:rPr>
          <w:rFonts w:ascii="PT Astra Serif" w:hAnsi="PT Astra Serif"/>
          <w:sz w:val="26"/>
          <w:szCs w:val="26"/>
        </w:rPr>
        <w:t xml:space="preserve">», 1888 г., </w:t>
      </w:r>
      <w:r>
        <w:rPr>
          <w:rFonts w:ascii="PT Astra Serif" w:hAnsi="PT Astra Serif"/>
          <w:sz w:val="26"/>
          <w:szCs w:val="26"/>
        </w:rPr>
        <w:t xml:space="preserve">расположенного</w:t>
      </w:r>
      <w:r>
        <w:rPr>
          <w:rFonts w:ascii="PT Astra Serif" w:hAnsi="PT Astra Serif"/>
          <w:sz w:val="26"/>
          <w:szCs w:val="26"/>
        </w:rPr>
        <w:t xml:space="preserve"> по адресу: Томская область, г. 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sz w:val="26"/>
          <w:szCs w:val="26"/>
        </w:rPr>
        <w:t xml:space="preserve">Целью п</w:t>
      </w:r>
      <w:r>
        <w:rPr>
          <w:rFonts w:ascii="PT Astra Serif" w:hAnsi="PT Astra Serif"/>
          <w:sz w:val="26"/>
          <w:szCs w:val="26"/>
        </w:rPr>
        <w:t xml:space="preserve">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</w:t>
      </w:r>
      <w:r>
        <w:rPr>
          <w:rFonts w:ascii="PT Astra Serif" w:hAnsi="PT Astra Serif"/>
          <w:sz w:val="26"/>
          <w:szCs w:val="26"/>
        </w:rPr>
        <w:t xml:space="preserve">является </w:t>
      </w:r>
      <w:r>
        <w:rPr>
          <w:rFonts w:ascii="PT Astra Serif" w:hAnsi="PT Astra Serif"/>
          <w:sz w:val="26"/>
          <w:szCs w:val="26"/>
        </w:rPr>
        <w:t xml:space="preserve">проведение работ </w:t>
      </w:r>
      <w:r>
        <w:rPr>
          <w:rFonts w:ascii="PT Astra Serif" w:hAnsi="PT Astra Serif"/>
          <w:sz w:val="26"/>
          <w:szCs w:val="26"/>
        </w:rPr>
        <w:t xml:space="preserve">по сохранению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в рамках реализации мероприятия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Государственной программы «Развитие здравоохранения в Томской области», утвержденной постановлением Администрации Томской области от 27.09.2019 № 353а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утверждении государственной программы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Развитие здравоохранения в Томской области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»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за счет средств областного бюджета, выделенных в 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Законом Томской области от 29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декабря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2021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№ 136-ОЗ «</w:t>
      </w:r>
      <w:r>
        <w:rPr>
          <w:rFonts w:ascii="PT Astra Serif" w:hAnsi="PT Astra Serif" w:eastAsiaTheme="minorHAnsi"/>
          <w:sz w:val="26"/>
          <w:szCs w:val="26"/>
        </w:rPr>
        <w:t xml:space="preserve">Об областном бюджете на 20</w:t>
      </w:r>
      <w:r>
        <w:rPr>
          <w:rFonts w:ascii="PT Astra Serif" w:hAnsi="PT Astra Serif" w:eastAsiaTheme="minorHAnsi"/>
          <w:sz w:val="26"/>
          <w:szCs w:val="26"/>
        </w:rPr>
        <w:t xml:space="preserve">22 год и </w:t>
      </w:r>
      <w:r>
        <w:rPr>
          <w:rFonts w:ascii="PT Astra Serif" w:hAnsi="PT Astra Serif" w:eastAsiaTheme="minorHAnsi"/>
          <w:sz w:val="26"/>
          <w:szCs w:val="26"/>
        </w:rPr>
        <w:t xml:space="preserve">плановый период 2023 и 2024</w:t>
      </w:r>
      <w:r>
        <w:rPr>
          <w:rFonts w:ascii="PT Astra Serif" w:hAnsi="PT Astra Serif" w:eastAsiaTheme="minorHAnsi"/>
          <w:sz w:val="26"/>
          <w:szCs w:val="26"/>
        </w:rPr>
        <w:t xml:space="preserve"> годов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».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Главным распорядителем бюджетных средств, до которого в соответствии с бюджетным законодательством Российской Федерации как получателя бюджетных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средств доведены в установленном порядке лимиты бюджетных обязательств на предоставление субсидии на соответствующий финансовый год, является Комитет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Условия и </w:t>
      </w:r>
      <w:r>
        <w:rPr>
          <w:rFonts w:ascii="PT Astra Serif" w:hAnsi="PT Astra Serif" w:eastAsiaTheme="minorHAnsi"/>
          <w:sz w:val="26"/>
          <w:szCs w:val="26"/>
        </w:rPr>
        <w:t xml:space="preserve">порядок предоставления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</w:t>
      </w:r>
      <w:r>
        <w:rPr>
          <w:rFonts w:ascii="PT Astra Serif" w:hAnsi="PT Astra Serif" w:eastAsiaTheme="minorHAnsi"/>
          <w:sz w:val="26"/>
          <w:szCs w:val="26"/>
        </w:rPr>
        <w:t xml:space="preserve">в пункте 2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олучатель субсидии направляет в Комитет пояснительную записку, содержащую обоснование необходимости предоставления бюджетных средств на цель, указанную </w:t>
      </w:r>
      <w:r>
        <w:rPr>
          <w:rFonts w:ascii="PT Astra Serif" w:hAnsi="PT Astra Serif" w:eastAsiaTheme="minorHAnsi"/>
          <w:sz w:val="26"/>
          <w:szCs w:val="26"/>
        </w:rPr>
        <w:t xml:space="preserve">в пункте 2 настоящего Порядка, по форме согласно приложению № 1 к настоящему Порядку, включая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</w:t>
      </w:r>
      <w:r>
        <w:rPr>
          <w:rFonts w:ascii="PT Astra Serif" w:hAnsi="PT Astra Serif" w:eastAsiaTheme="minorHAnsi"/>
          <w:sz w:val="26"/>
          <w:szCs w:val="26"/>
        </w:rPr>
        <w:t xml:space="preserve">счет-обоснование суммы субсидии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</w:t>
      </w:r>
      <w:r>
        <w:rPr>
          <w:rFonts w:ascii="PT Astra Serif" w:hAnsi="PT Astra Serif" w:eastAsiaTheme="minorHAnsi"/>
          <w:sz w:val="26"/>
          <w:szCs w:val="26"/>
        </w:rPr>
        <w:t xml:space="preserve"> и техническое задание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5.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вправе представить по собственной инициативе следующие документы: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реестра юридических лиц, полученную не ранее чем за один месяц до дня обращения получателя субсидии с пояснительной запиской на получение субсидии;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неисполненной обязанности по уплате налогов, сборов, страховых взносов, пеней, штрафов, процентов, подлежащих уплате в соответствии с законодательством Российской Федерации о налогах и сборах, по состоянию на 1-е число месяца, предшествующего месяцу, в котором планируется принятие решения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трех рабочих дней со дня обращения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олучателя субсидии.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рассмотрение документов, указанных в пунктах 4, 5 настоящего Порядка,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в течение десяти рабочих дней со дня представления получателем субсидии пояснительной записки,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 предмет достоверности содержащейся в представленных документах информации, </w:t>
      </w:r>
      <w:r>
        <w:rPr>
          <w:rFonts w:ascii="PT Astra Serif" w:hAnsi="PT Astra Serif" w:eastAsiaTheme="minorHAnsi"/>
          <w:sz w:val="26"/>
          <w:szCs w:val="26"/>
        </w:rPr>
        <w:t xml:space="preserve">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</w:t>
      </w:r>
      <w:r>
        <w:rPr>
          <w:rFonts w:ascii="PT Astra Serif" w:hAnsi="PT Astra Serif" w:eastAsiaTheme="minorHAnsi"/>
          <w:sz w:val="26"/>
          <w:szCs w:val="26"/>
        </w:rPr>
        <w:t xml:space="preserve"> субсидии являются: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5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убсидии рассчитывается по формуле:</w:t>
      </w:r>
    </w:p>
    <w:p>
      <w:pPr>
        <w:pStyle w:val="a9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определяемые на основании сметной </w:t>
      </w:r>
      <w:r>
        <w:rPr>
          <w:rFonts w:ascii="PT Astra Serif" w:hAnsi="PT Astra Serif" w:eastAsiaTheme="minorHAnsi"/>
          <w:sz w:val="26"/>
          <w:szCs w:val="26"/>
        </w:rPr>
        <w:t xml:space="preserve">стоимости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проведения</w:t>
      </w:r>
      <w:r>
        <w:rPr>
          <w:rFonts w:ascii="PT Astra Serif" w:hAnsi="PT Astra Serif" w:eastAsiaTheme="minorHAnsi"/>
          <w:sz w:val="26"/>
          <w:szCs w:val="26"/>
        </w:rPr>
        <w:t xml:space="preserve"> работ по</w:t>
      </w:r>
      <w:r>
        <w:rPr>
          <w:rFonts w:ascii="PT Astra Serif" w:hAnsi="PT Astra Serif" w:eastAsiaTheme="minorHAnsi"/>
          <w:sz w:val="26"/>
          <w:szCs w:val="26"/>
        </w:rPr>
        <w:t xml:space="preserve"> разработке проектной документации на капитальный ремонт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Томская область, г.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6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7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18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19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соответствии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0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принятие Комитетом решения, предусмотренного пунктом 21 настоящего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9 настоящего Порядка, является: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</w:t>
      </w:r>
      <w:r>
        <w:rPr>
          <w:rFonts w:ascii="PT Astra Serif" w:hAnsi="PT Astra Serif" w:cs="Calibri" w:eastAsiaTheme="minorHAnsi"/>
          <w:sz w:val="26"/>
          <w:szCs w:val="26"/>
        </w:rPr>
        <w:t xml:space="preserve">низации в форме присоединения к </w:t>
      </w:r>
      <w:r>
        <w:rPr>
          <w:rFonts w:ascii="PT Astra Serif" w:hAnsi="PT Astra Serif" w:cs="Calibri" w:eastAsiaTheme="minorHAnsi"/>
          <w:sz w:val="26"/>
          <w:szCs w:val="26"/>
        </w:rPr>
        <w:t xml:space="preserve">юридическому лицу, являющемуся получателем субсидии, другого юридического лица)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ликвидация получателя субсидии, вследствие которых дополнительное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явля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тся </w:t>
      </w:r>
      <w:r>
        <w:rPr>
          <w:rFonts w:ascii="PT Astra Serif" w:hAnsi="PT Astra Serif" w:eastAsiaTheme="minorHAnsi"/>
          <w:sz w:val="26"/>
          <w:szCs w:val="26"/>
        </w:rPr>
        <w:t xml:space="preserve">проведен</w:t>
      </w:r>
      <w:r>
        <w:rPr>
          <w:rFonts w:ascii="PT Astra Serif" w:hAnsi="PT Astra Serif" w:eastAsiaTheme="minorHAnsi"/>
          <w:sz w:val="26"/>
          <w:szCs w:val="26"/>
        </w:rPr>
        <w:t xml:space="preserve">ные</w:t>
      </w:r>
      <w:r>
        <w:rPr>
          <w:rFonts w:ascii="PT Astra Serif" w:hAnsi="PT Astra Serif" w:eastAsiaTheme="minorHAnsi"/>
          <w:sz w:val="26"/>
          <w:szCs w:val="26"/>
        </w:rPr>
        <w:t xml:space="preserve"> работ</w:t>
      </w:r>
      <w:r>
        <w:rPr>
          <w:rFonts w:ascii="PT Astra Serif" w:hAnsi="PT Astra Serif" w:eastAsiaTheme="minorHAnsi"/>
          <w:sz w:val="26"/>
          <w:szCs w:val="26"/>
        </w:rPr>
        <w:t xml:space="preserve">ы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 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 в срок до 25 </w:t>
      </w:r>
      <w:r>
        <w:rPr>
          <w:rFonts w:ascii="PT Astra Serif" w:hAnsi="PT Astra Serif" w:eastAsiaTheme="minorHAnsi"/>
          <w:sz w:val="26"/>
          <w:szCs w:val="26"/>
        </w:rPr>
        <w:t xml:space="preserve">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а в случае принятия решения в соответствии с пунктами 18-21 настоящего Порядка в срок до 25 декабря очередного финансового года.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разработанная проектная документация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3 к настоящему Порядку с приложением документов, подтверждающих возникновение фактической потребности в средствах субсидии:</w:t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выполненных работ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и о достижении результата и </w:t>
      </w:r>
      <w:r>
        <w:rPr>
          <w:rFonts w:ascii="PT Astra Serif" w:hAnsi="PT Astra Serif" w:eastAsiaTheme="minorHAnsi"/>
          <w:sz w:val="26"/>
          <w:szCs w:val="26"/>
        </w:rPr>
        <w:t xml:space="preserve">показателей достижения результата, указанного в пункте 13 настоящего Порядка (далее – отчет),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 к настоящему Порядку.</w:t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соглашении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сроки и формы представления получателем субсидии дополнительной отчетности.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следующие сроки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</w:t>
      </w:r>
      <w:r>
        <w:rPr>
          <w:rFonts w:ascii="PT Astra Serif" w:hAnsi="PT Astra Serif" w:eastAsiaTheme="minorHAnsi"/>
          <w:sz w:val="26"/>
          <w:szCs w:val="26"/>
        </w:rPr>
        <w:t xml:space="preserve">об осуществлении расходов, произве</w:t>
      </w:r>
      <w:r>
        <w:rPr>
          <w:rFonts w:ascii="PT Astra Serif" w:hAnsi="PT Astra Serif" w:eastAsiaTheme="minorHAnsi"/>
          <w:sz w:val="26"/>
          <w:szCs w:val="26"/>
        </w:rPr>
        <w:t xml:space="preserve">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 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 срок до 30 декабря текущего финансового года;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</w:t>
      </w: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 срок до 30 декабря текущего финансового года.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8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</w:p>
    <w:p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в соответствии с пунктом 4 настоящего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Порядка </w:t>
      </w:r>
      <w:r>
        <w:rPr>
          <w:rFonts w:ascii="PT Astra Serif" w:hAnsi="PT Astra Serif" w:eastAsiaTheme="minorHAnsi"/>
          <w:sz w:val="26"/>
          <w:szCs w:val="26"/>
        </w:rPr>
        <w:t xml:space="preserve">информацию о наличии у получателя субсидии неисполненных обязательств, источником финансового обеспечения которых являются не использованные на 1 января текущего финансового года остатки субсидии, а также копий документов, подтверждающих наличие и объем указанных обязательств получателя субсидии, заверенных руководителем получателя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</w:t>
      </w: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рассматривает их и принимает решение о направлении остатков субсидии в текущем финансовом году на ту же цель или об отказе использования остатков субсидии в текущем финансовом году, которое оформляется в письменном виде и направляется получателю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. Решение о направлении остатков субсидии в текущем финансовом году на ту же цель принимается в форме распоряжения Комитета.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1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2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0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  <w:sectPr>
          <w:head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contextualSpacing w:val="true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a9"/>
        <w:ind w:left="411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</w:p>
    <w:p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 в размере _______ руб.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_____ листах: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ind w:firstLine="709"/>
        <w:jc w:val="both"/>
        <w:tabs>
          <w:tab w:val="left" w:pos="4253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</w:t>
      </w:r>
      <w:r>
        <w:rPr>
          <w:rFonts w:ascii="PT Astra Serif" w:hAnsi="PT Astra Serif" w:eastAsiaTheme="minorHAnsi"/>
          <w:sz w:val="20"/>
          <w:szCs w:val="20"/>
        </w:rPr>
        <w:t xml:space="preserve">Порядка определения объема и услови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на проведение работ по сохранению объекта культурного наследия регионального значения «Лечебница городская», 1888 г., расположенного по адресу:</w:t>
      </w:r>
      <w:r>
        <w:rPr>
          <w:rFonts w:ascii="PT Astra Serif" w:hAnsi="PT Astra Serif" w:eastAsiaTheme="minorHAnsi"/>
          <w:sz w:val="20"/>
          <w:szCs w:val="20"/>
        </w:rPr>
        <w:t xml:space="preserve"> Томская область, г. Томск, Набережная реки </w:t>
      </w:r>
      <w:r>
        <w:rPr>
          <w:rFonts w:ascii="PT Astra Serif" w:hAnsi="PT Astra Serif" w:eastAsiaTheme="minorHAnsi"/>
          <w:sz w:val="20"/>
          <w:szCs w:val="20"/>
        </w:rPr>
        <w:t xml:space="preserve">Ушайки</w:t>
      </w:r>
      <w:r>
        <w:rPr>
          <w:rFonts w:ascii="PT Astra Serif" w:hAnsi="PT Astra Serif" w:eastAsiaTheme="minorHAnsi"/>
          <w:sz w:val="20"/>
          <w:szCs w:val="20"/>
        </w:rPr>
        <w:t xml:space="preserve">, 22 (разработка проектной документации на капитальный ремонт)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Начальник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</w:t>
      </w:r>
      <w:r>
        <w:rPr>
          <w:rFonts w:ascii="PT Astra Serif" w:hAnsi="PT Astra Serif" w:eastAsiaTheme="minorHAnsi"/>
          <w:sz w:val="26"/>
          <w:szCs w:val="26"/>
        </w:rPr>
        <w:t xml:space="preserve">_____________</w:t>
      </w:r>
      <w:r>
        <w:rPr>
          <w:rFonts w:ascii="PT Astra Serif" w:hAnsi="PT Astra Serif" w:eastAsiaTheme="minorHAnsi"/>
          <w:sz w:val="26"/>
          <w:szCs w:val="26"/>
        </w:rPr>
        <w:t xml:space="preserve">                   ____</w:t>
      </w:r>
      <w:r>
        <w:rPr>
          <w:rFonts w:ascii="PT Astra Serif" w:hAnsi="PT Astra Serif" w:eastAsiaTheme="minorHAnsi"/>
          <w:sz w:val="26"/>
          <w:szCs w:val="26"/>
        </w:rPr>
        <w:t xml:space="preserve">___</w:t>
      </w:r>
      <w:r>
        <w:rPr>
          <w:rFonts w:ascii="PT Astra Serif" w:hAnsi="PT Astra Serif" w:eastAsiaTheme="minorHAnsi"/>
          <w:sz w:val="26"/>
          <w:szCs w:val="26"/>
        </w:rPr>
        <w:t xml:space="preserve">____</w:t>
      </w:r>
      <w:r>
        <w:rPr>
          <w:rFonts w:ascii="PT Astra Serif" w:hAnsi="PT Astra Serif" w:eastAsiaTheme="minorHAnsi"/>
          <w:sz w:val="26"/>
          <w:szCs w:val="26"/>
        </w:rPr>
        <w:t xml:space="preserve">________</w:t>
      </w:r>
      <w:r>
        <w:rPr>
          <w:rFonts w:ascii="PT Astra Serif" w:hAnsi="PT Astra Serif" w:eastAsiaTheme="minorHAnsi"/>
          <w:sz w:val="26"/>
          <w:szCs w:val="26"/>
        </w:rPr>
        <w:t xml:space="preserve">_____</w:t>
      </w:r>
      <w:r>
        <w:rPr>
          <w:rFonts w:ascii="PT Astra Serif" w:hAnsi="PT Astra Serif" w:eastAsiaTheme="minorHAnsi"/>
          <w:sz w:val="26"/>
          <w:szCs w:val="26"/>
        </w:rPr>
        <w:t xml:space="preserve">___</w:t>
      </w:r>
      <w:r>
        <w:rPr>
          <w:rFonts w:ascii="PT Astra Serif" w:hAnsi="PT Astra Serif" w:eastAsiaTheme="minorHAnsi"/>
          <w:sz w:val="26"/>
          <w:szCs w:val="26"/>
        </w:rPr>
        <w:t xml:space="preserve">_____      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</w:t>
      </w:r>
      <w:r>
        <w:rPr>
          <w:rFonts w:ascii="PT Astra Serif" w:hAnsi="PT Astra Serif" w:eastAsiaTheme="minorHAnsi"/>
          <w:sz w:val="20"/>
          <w:szCs w:val="20"/>
        </w:rPr>
        <w:t xml:space="preserve">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, имя, отчество, последнее – при наличии</w:t>
      </w:r>
      <w:r>
        <w:rPr>
          <w:rFonts w:ascii="PT Astra Serif" w:hAnsi="PT Astra Serif" w:eastAsiaTheme="minorHAnsi"/>
          <w:sz w:val="20"/>
          <w:szCs w:val="20"/>
        </w:rPr>
        <w:t xml:space="preserve">)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М.П.</w:t>
      </w:r>
    </w:p>
    <w:p>
      <w:pPr>
        <w:pStyle w:val="a9"/>
        <w:ind w:left="0" w:firstLine="709"/>
        <w:jc w:val="both"/>
        <w:tabs>
          <w:tab w:val="left" w:pos="4253"/>
        </w:tabs>
        <w:rPr>
          <w:rFonts w:ascii="PT Astra Serif" w:hAnsi="PT Astra Serif"/>
        </w:rPr>
      </w:pPr>
    </w:p>
    <w:p>
      <w:pPr>
        <w:pStyle w:val="a9"/>
        <w:ind w:left="0" w:firstLine="709"/>
        <w:jc w:val="both"/>
        <w:tabs>
          <w:tab w:val="left" w:pos="4962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</w:p>
    <w:p>
      <w:pPr>
        <w:jc w:val="both"/>
        <w:rPr>
          <w:rFonts w:ascii="PT Astra Serif" w:hAnsi="PT Astra Serif"/>
        </w:rPr>
        <w:sectPr>
          <w:headerReference w:type="first" r:id="rId12"/>
          <w:pgSz w:w="11906" w:h="16838"/>
          <w:pgMar w:top="567" w:right="567" w:bottom="993" w:left="1134" w:header="709" w:footer="709" w:gutter="0"/>
          <w:pgNumType w:start="8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субсидии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на выполнение работ по сохранению объектов культурного наследия, расположенных на территории Томской области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ние культуры «Центр по охране и 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использованию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памятников истории и культуры»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</w:t>
      </w:r>
      <w:r>
        <w:rPr>
          <w:rFonts w:ascii="PT Astra Serif" w:hAnsi="PT Astra Serif" w:eastAsiaTheme="minorHAnsi"/>
          <w:sz w:val="26"/>
          <w:szCs w:val="26"/>
        </w:rPr>
        <w:t xml:space="preserve">ть субсидию, предоставляемую из </w:t>
      </w:r>
      <w:r>
        <w:rPr>
          <w:rFonts w:ascii="PT Astra Serif" w:hAnsi="PT Astra Serif" w:eastAsiaTheme="minorHAnsi"/>
          <w:sz w:val="26"/>
          <w:szCs w:val="26"/>
        </w:rPr>
        <w:t xml:space="preserve">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pStyle w:val="ConsPlusNormal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06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5588"/>
        <w:gridCol w:w="1417"/>
        <w:gridCol w:w="2775"/>
      </w:tblGrid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расходов мероприятия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(руб.)</w:t>
            </w: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</w:t>
      </w:r>
      <w:r>
        <w:rPr>
          <w:rFonts w:ascii="PT Astra Serif" w:hAnsi="PT Astra Serif" w:eastAsiaTheme="minorHAnsi"/>
          <w:sz w:val="26"/>
          <w:szCs w:val="26"/>
        </w:rPr>
        <w:t xml:space="preserve">лненных работ в __</w:t>
      </w:r>
      <w:r>
        <w:rPr>
          <w:rFonts w:ascii="PT Astra Serif" w:hAnsi="PT Astra Serif" w:eastAsiaTheme="minorHAnsi"/>
          <w:sz w:val="26"/>
          <w:szCs w:val="26"/>
        </w:rPr>
        <w:t xml:space="preserve">экз. на _</w:t>
      </w:r>
      <w:r>
        <w:rPr>
          <w:rFonts w:ascii="PT Astra Serif" w:hAnsi="PT Astra Serif" w:eastAsiaTheme="minorHAnsi"/>
          <w:sz w:val="26"/>
          <w:szCs w:val="26"/>
        </w:rPr>
        <w:t xml:space="preserve">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</w:p>
    <w:p>
      <w:pPr>
        <w:contextualSpacing w:val="true"/>
        <w:jc w:val="both"/>
        <w:rPr>
          <w:rFonts w:ascii="PT Astra Serif" w:hAnsi="PT Astra Serif"/>
          <w:sz w:val="20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838"/>
      </w:tblGrid>
      <w:tr>
        <w:tc>
          <w:tcPr>
            <w:shd w:val="clear" w:fill="auto" w:color="auto"/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  <w:tc>
          <w:tcPr>
            <w:shd w:val="clear" w:fill="auto" w:color="auto"/>
            <w:tcW w:w="4838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/_________________/</w:t>
            </w:r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 </w:t>
            </w:r>
          </w:p>
          <w:p>
            <w:pPr>
              <w:contextualSpacing w:val="true"/>
              <w:jc w:val="righ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последнее – при наличии)</w:t>
            </w:r>
          </w:p>
        </w:tc>
      </w:tr>
    </w:tbl>
    <w:p>
      <w:pPr>
        <w:jc w:val="both"/>
        <w:tabs>
          <w:tab w:val="left" w:pos="4253"/>
        </w:tabs>
        <w:rPr>
          <w:rFonts w:ascii="PT Astra Serif" w:hAnsi="PT Astra Serif"/>
        </w:r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  <w:sectPr>
          <w:pgSz w:w="11906" w:h="16838"/>
          <w:pgMar w:top="567" w:right="567" w:bottom="993" w:left="1134" w:header="709" w:footer="709" w:gutter="0"/>
          <w:pgNumType w:start="9"/>
          <w:cols w:space="708"/>
          <w:docGrid w:linePitch="360"/>
          <w:titlePg/>
        </w:sectPr>
      </w:pPr>
    </w:p>
    <w:p>
      <w:pPr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</w:t>
      </w:r>
    </w:p>
    <w:p>
      <w:pPr>
        <w:contextualSpacing w:val="true"/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изведенных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1466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c>
          <w:tcPr>
            <w:gridSpan w:val="2"/>
            <w:tcW w:w="1696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</w:p>
        </w:tc>
        <w:tc>
          <w:tcPr>
            <w:gridSpan w:val="2"/>
            <w:tcW w:w="2694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начало текущего финансового года</w:t>
            </w:r>
          </w:p>
        </w:tc>
        <w:tc>
          <w:tcPr>
            <w:gridSpan w:val="3"/>
            <w:tcW w:w="396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</w:p>
        </w:tc>
        <w:tc>
          <w:tcPr>
            <w:gridSpan w:val="2"/>
            <w:tcW w:w="240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</w:p>
        </w:tc>
        <w:tc>
          <w:tcPr>
            <w:gridSpan w:val="3"/>
            <w:tcW w:w="3756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</w:p>
        </w:tc>
      </w:tr>
      <w:tr>
        <w:trPr>
          <w:trHeight w:val="125"/>
        </w:trPr>
        <w:tc>
          <w:tcPr>
            <w:tcW w:w="1129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аиме-нование</w:t>
            </w:r>
          </w:p>
        </w:tc>
        <w:tc>
          <w:tcPr>
            <w:tcW w:w="567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</w:p>
        </w:tc>
        <w:tc>
          <w:tcPr>
            <w:tcW w:w="851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tcW w:w="1843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gridSpan w:val="2"/>
            <w:tcW w:w="311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tcW w:w="1559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</w:p>
        </w:tc>
        <w:tc>
          <w:tcPr>
            <w:tcW w:w="851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gridSpan w:val="2"/>
            <w:tcW w:w="2905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</w:p>
        </w:tc>
      </w:tr>
      <w:tr>
        <w:trPr>
          <w:trHeight w:val="125"/>
        </w:trPr>
        <w:tc>
          <w:tcPr>
            <w:tcW w:w="1129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прошлых лет</w:t>
            </w:r>
          </w:p>
        </w:tc>
        <w:tc>
          <w:tcPr>
            <w:tcW w:w="850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направлении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на те же цели</w:t>
            </w:r>
          </w:p>
        </w:tc>
        <w:tc>
          <w:tcPr>
            <w:tcW w:w="1211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</w:p>
        </w:tc>
      </w:tr>
      <w:tr>
        <w:tc>
          <w:tcPr>
            <w:tcW w:w="112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</w:p>
        </w:tc>
        <w:tc>
          <w:tcPr>
            <w:tcW w:w="567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</w:p>
        </w:tc>
        <w:tc>
          <w:tcPr>
            <w:tcW w:w="1843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</w:p>
        </w:tc>
        <w:tc>
          <w:tcPr>
            <w:tcW w:w="155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</w:p>
        </w:tc>
        <w:tc>
          <w:tcPr>
            <w:tcW w:w="1694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</w:p>
        </w:tc>
        <w:tc>
          <w:tcPr>
            <w:tcW w:w="121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112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112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spacing w:lineRule="auto" w:line="233"/>
        <w:widowControl w:val="off"/>
        <w:tabs>
          <w:tab w:val="left" w:pos="1977"/>
          <w:tab w:val="center" w:pos="4677"/>
        </w:tabs>
        <w:rPr>
          <w:rFonts w:ascii="PT Astra Serif" w:hAnsi="PT Astra Serif"/>
        </w:rPr>
        <w:sectPr>
          <w:pgSz w:w="16838" w:h="11906" w:orient="landscape"/>
          <w:pgMar w:top="1701" w:right="1134" w:bottom="567" w:left="1134" w:header="709" w:footer="709" w:gutter="0"/>
          <w:pgNumType w:start="10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 сохранению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«Лечебница городская», 1888 г., расположенного по адресу: Томская область, г. 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 (разработка проектной документации на капитальный ремонт)</w:t>
      </w:r>
      <w:r>
        <w:rPr>
          <w:rFonts w:ascii="PT Astra Serif" w:hAnsi="PT Astra Serif" w:eastAsiaTheme="minorHAnsi"/>
          <w:sz w:val="26"/>
          <w:szCs w:val="26"/>
        </w:rPr>
        <w:t xml:space="preserve"> на </w:t>
      </w:r>
      <w:r>
        <w:rPr>
          <w:rFonts w:ascii="PT Astra Serif" w:hAnsi="PT Astra Serif" w:eastAsiaTheme="minorHAnsi"/>
          <w:sz w:val="26"/>
          <w:szCs w:val="26"/>
        </w:rPr>
        <w:t xml:space="preserve">___________20__г.</w:t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</w:tc>
      </w:tr>
      <w:tr>
        <w:tc>
          <w:tcPr>
            <w:gridSpan w:val="2"/>
            <w:tcW w:w="648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</w:p>
        </w:tc>
        <w:tc>
          <w:tcPr>
            <w:gridSpan w:val="2"/>
            <w:tcW w:w="4847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</w:p>
        </w:tc>
        <w:tc>
          <w:tcPr>
            <w:tcW w:w="1559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</w:p>
        </w:tc>
        <w:tc>
          <w:tcPr>
            <w:gridSpan w:val="3"/>
            <w:tcW w:w="2694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</w:p>
        </w:tc>
      </w:tr>
      <w:tr>
        <w:tc>
          <w:tcPr>
            <w:gridSpan w:val="2"/>
            <w:tcW w:w="648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4847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</w:tr>
    </w:tbl>
    <w:p>
      <w:pPr>
        <w:jc w:val="center"/>
        <w:rPr>
          <w:rFonts w:ascii="PT Astra Serif" w:hAnsi="PT Astra Serif"/>
        </w:rPr>
      </w:pPr>
    </w:p>
    <w:sectPr>
      <w:headerReference w:type="default" r:id="rId13"/>
      <w:pgSz w:w="11906" w:h="16838"/>
      <w:pgMar w:top="1134" w:right="567" w:bottom="1134" w:left="1701" w:header="709" w:footer="709" w:gutter="0"/>
      <w:pgNumType w:start="12"/>
      <w:cols w:space="708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504966742"/>
      <w:rPr>
        <w:rFonts w:ascii="PT Astra Serif" w:hAnsi="PT Astra Serif"/>
        <w:sz w:val="26"/>
        <w:szCs w:val="26"/>
      </w:rPr>
    </w:sdtPr>
    <w:sdtContent>
      <w:p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5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 noChangeArrowheads="1"/>
                      </pic:cNvPicPr>
                      <pic:nvPr/>
                    </pic:nvPicPr>
                    <pic:blipFill>
                      <a:blip r:embed="rId1"/>
                      <a:srcRect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tabs>
        <w:tab w:val="center" w:pos="5102"/>
        <w:tab w:val="left" w:pos="5947"/>
      </w:tabs>
    </w:pPr>
    <w:r>
      <w:tab/>
    </w:r>
    <w:r>
      <w:tab/>
    </w:r>
    <w:r>
      <w:tab/>
    </w:r>
  </w:p>
  <w:p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614250773"/>
    </w:sdtPr>
    <w:sdtEndPr>
      <w:rPr>
        <w:rFonts w:ascii="PT Astra Serif" w:hAnsi="PT Astra Serif"/>
        <w:sz w:val="26"/>
        <w:szCs w:val="26"/>
      </w:rPr>
    </w:sdtEndPr>
    <w:sdtContent>
      <w:p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10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12</w:t>
    </w:r>
    <w:r>
      <w:fldChar w:fldCharType="end"/>
    </w:r>
  </w:p>
  <w:p>
    <w:pPr>
      <w:pStyle w:val="a3"/>
      <w:jc w:val="center"/>
      <w:rPr>
        <w:rFonts w:ascii="PT Astra Serif" w:hAnsi="PT Astra Serif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800" w:hanging="360"/>
      </w:pPr>
    </w:lvl>
    <w:lvl w:ilvl="2" w:tentative="1" w:tplc="0419001B">
      <w:start w:val="1"/>
      <w:numFmt w:val="lowerRoman"/>
      <w:lvlText w:val="%3."/>
      <w:lvlJc w:val="right"/>
      <w:pPr>
        <w:ind w:left="2520" w:hanging="180"/>
      </w:pPr>
    </w:lvl>
    <w:lvl w:ilvl="3" w:tentative="1" w:tplc="0419000F">
      <w:start w:val="1"/>
      <w:numFmt w:val="decimal"/>
      <w:lvlText w:val="%4."/>
      <w:lvlJc w:val="left"/>
      <w:pPr>
        <w:ind w:left="3240" w:hanging="360"/>
      </w:pPr>
    </w:lvl>
    <w:lvl w:ilvl="4" w:tentative="1" w:tplc="04190019">
      <w:start w:val="1"/>
      <w:numFmt w:val="lowerLetter"/>
      <w:lvlText w:val="%5."/>
      <w:lvlJc w:val="left"/>
      <w:pPr>
        <w:ind w:left="3960" w:hanging="360"/>
      </w:pPr>
    </w:lvl>
    <w:lvl w:ilvl="5" w:tentative="1" w:tplc="0419001B">
      <w:start w:val="1"/>
      <w:numFmt w:val="lowerRoman"/>
      <w:lvlText w:val="%6."/>
      <w:lvlJc w:val="right"/>
      <w:pPr>
        <w:ind w:left="4680" w:hanging="180"/>
      </w:pPr>
    </w:lvl>
    <w:lvl w:ilvl="6" w:tentative="1" w:tplc="0419000F">
      <w:start w:val="1"/>
      <w:numFmt w:val="decimal"/>
      <w:lvlText w:val="%7."/>
      <w:lvlJc w:val="left"/>
      <w:pPr>
        <w:ind w:left="5400" w:hanging="360"/>
      </w:pPr>
    </w:lvl>
    <w:lvl w:ilvl="7" w:tentative="1" w:tplc="04190019">
      <w:start w:val="1"/>
      <w:numFmt w:val="lowerLetter"/>
      <w:lvlText w:val="%8."/>
      <w:lvlJc w:val="left"/>
      <w:pPr>
        <w:ind w:left="6120" w:hanging="360"/>
      </w:pPr>
    </w:lvl>
    <w:lvl w:ilvl="8" w:tentative="1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multiLevelType w:val="hybridMultilevel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multiLevelType w:val="hybridMultilevel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30" w:hanging="360"/>
      </w:pPr>
    </w:lvl>
    <w:lvl w:ilvl="2" w:tentative="1" w:tplc="0419001B">
      <w:start w:val="1"/>
      <w:numFmt w:val="lowerRoman"/>
      <w:lvlText w:val="%3."/>
      <w:lvlJc w:val="right"/>
      <w:pPr>
        <w:ind w:left="2150" w:hanging="180"/>
      </w:pPr>
    </w:lvl>
    <w:lvl w:ilvl="3" w:tentative="1" w:tplc="0419000F">
      <w:start w:val="1"/>
      <w:numFmt w:val="decimal"/>
      <w:lvlText w:val="%4."/>
      <w:lvlJc w:val="left"/>
      <w:pPr>
        <w:ind w:left="2870" w:hanging="360"/>
      </w:pPr>
    </w:lvl>
    <w:lvl w:ilvl="4" w:tentative="1" w:tplc="04190019">
      <w:start w:val="1"/>
      <w:numFmt w:val="lowerLetter"/>
      <w:lvlText w:val="%5."/>
      <w:lvlJc w:val="left"/>
      <w:pPr>
        <w:ind w:left="3590" w:hanging="360"/>
      </w:pPr>
    </w:lvl>
    <w:lvl w:ilvl="5" w:tentative="1" w:tplc="0419001B">
      <w:start w:val="1"/>
      <w:numFmt w:val="lowerRoman"/>
      <w:lvlText w:val="%6."/>
      <w:lvlJc w:val="right"/>
      <w:pPr>
        <w:ind w:left="4310" w:hanging="180"/>
      </w:pPr>
    </w:lvl>
    <w:lvl w:ilvl="6" w:tentative="1" w:tplc="0419000F">
      <w:start w:val="1"/>
      <w:numFmt w:val="decimal"/>
      <w:lvlText w:val="%7."/>
      <w:lvlJc w:val="left"/>
      <w:pPr>
        <w:ind w:left="5030" w:hanging="360"/>
      </w:pPr>
    </w:lvl>
    <w:lvl w:ilvl="7" w:tentative="1" w:tplc="04190019">
      <w:start w:val="1"/>
      <w:numFmt w:val="lowerLetter"/>
      <w:lvlText w:val="%8."/>
      <w:lvlJc w:val="left"/>
      <w:pPr>
        <w:ind w:left="5750" w:hanging="360"/>
      </w:pPr>
    </w:lvl>
    <w:lvl w:ilvl="8" w:tentative="1" w:tplc="0419001B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multiLevelType w:val="hybridMultilevel"/>
    <w:lvl w:ilvl="0" w:tplc="02FCCB08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 w:tplc="7CA0945E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1">
    <w:name w:val="heading 1"/>
    <w:basedOn w:val="a"/>
    <w:next w:val="a"/>
    <w:link w:val="1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4" w:customStyle="1">
    <w:name w:val="Верхний колонтитул Знак"/>
    <w:basedOn w:val="a0"/>
    <w:link w:val="a3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rPr>
      <w:rFonts w:ascii="Calibri" w:hAnsi="Calibri" w:cs="Times New Roman" w:eastAsia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styleId="a8" w:customStyle="1">
    <w:name w:val="Текст выноски Знак"/>
    <w:basedOn w:val="a0"/>
    <w:link w:val="a7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ConsPlusNormal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a9">
    <w:name w:val="List Paragraph"/>
    <w:basedOn w:val="a"/>
    <w:qFormat/>
    <w:uiPriority w:val="34"/>
    <w:pPr>
      <w:contextualSpacing w:val="true"/>
      <w:ind w:left="720"/>
    </w:pPr>
  </w:style>
  <w:style w:type="character" w:styleId="aa">
    <w:name w:val="Placeholder Text"/>
    <w:basedOn w:val="a0"/>
    <w:uiPriority w:val="99"/>
    <w:semiHidden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Pr>
      <w:sz w:val="20"/>
      <w:szCs w:val="20"/>
    </w:rPr>
  </w:style>
  <w:style w:type="character" w:styleId="ac" w:customStyle="1">
    <w:name w:val="Текст концевой сноски Знак"/>
    <w:basedOn w:val="a0"/>
    <w:link w:val="ab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ae">
    <w:name w:val="footnote text"/>
    <w:basedOn w:val="a"/>
    <w:link w:val="af"/>
    <w:uiPriority w:val="99"/>
    <w:unhideWhenUsed/>
    <w:rPr>
      <w:sz w:val="20"/>
      <w:szCs w:val="20"/>
    </w:rPr>
  </w:style>
  <w:style w:type="character" w:styleId="af" w:customStyle="1">
    <w:name w:val="Текст сноски Знак"/>
    <w:basedOn w:val="a0"/>
    <w:link w:val="ae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Pr>
      <w:vertAlign w:val="superscript"/>
    </w:rPr>
  </w:style>
  <w:style w:type="table" w:styleId="af1">
    <w:name w:val="Table Grid"/>
    <w:basedOn w:val="a1"/>
    <w:uiPriority w:val="59"/>
    <w:pPr>
      <w:spacing w:lineRule="auto" w:line="240" w:after="0"/>
    </w:pPr>
    <w:tblPr>
      <w:tblInd w:w="0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  <w:insideV w:val="single" w:sz="4" w:space="0" w:color="auto"/>
        <w:insideH w:val="single" w:sz="4" w:space="0" w:color="auto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blk" w:customStyle="1">
    <w:name w:val="blk"/>
    <w:basedOn w:val="a0"/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ConsPlusNonformat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customXml" Target="../customXml/item1.xml" /><Relationship Id="rId15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6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7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8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9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0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1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2" Type="http://schemas.openxmlformats.org/officeDocument/2006/relationships/hyperlink" Target="consultantplus://offline/ref=8BF3C02650D204E211B97AD1DA8FA61A8B3B45E9256B8F286C2010AB146EB11E2A432581CF384F26E0BC6276F242BDEF5FA31EE13835E7B2A3050A40y8q5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5DF52-0131-4F57-B4AF-FEEB57D8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25216</Characters>
  <CharactersWithSpaces>29580</CharactersWithSpaces>
  <Company/>
  <DocSecurity>0</DocSecurity>
  <HyperlinksChanged>false</HyperlinksChanged>
  <Lines>210</Lines>
  <LinksUpToDate>false</LinksUpToDate>
  <Pages>13</Pages>
  <Paragraphs>59</Paragraphs>
  <ScaleCrop>false</ScaleCrop>
  <SharedDoc>false</SharedDoc>
  <Template>Normal</Template>
  <TotalTime>117</TotalTime>
  <Words>4423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17</cp:revision>
  <cp:lastPrinted>2022-03-16T05:32:00Z</cp:lastPrinted>
  <dcterms:created xsi:type="dcterms:W3CDTF">2022-02-18T05:05:00Z</dcterms:created>
  <dcterms:modified xsi:type="dcterms:W3CDTF">2022-03-16T05:32:00Z</dcterms:modified>
</cp:coreProperties>
</file>