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15.03.2022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</w:t>
      </w:r>
      <w:r>
        <w:rPr>
          <w:rFonts w:ascii="PT Astra Serif" w:hAnsi="PT Astra Serif"/>
          <w:bCs/>
          <w:sz w:val="26"/>
          <w:szCs w:val="26"/>
        </w:rPr>
        <w:t xml:space="preserve">№</w:t>
      </w:r>
      <w:r>
        <w:rPr>
          <w:rFonts w:ascii="PT Astra Serif" w:hAnsi="PT Astra Serif"/>
          <w:bCs/>
          <w:sz w:val="26"/>
          <w:szCs w:val="26"/>
        </w:rPr>
        <w:t xml:space="preserve"> 003</w:t>
      </w:r>
      <w:r>
        <w:rPr>
          <w:rFonts w:ascii="PT Astra Serif" w:hAnsi="PT Astra Serif"/>
          <w:bCs/>
          <w:sz w:val="26"/>
          <w:szCs w:val="26"/>
        </w:rPr>
        <w:t xml:space="preserve">9</w:t>
      </w:r>
      <w:r>
        <w:rPr>
          <w:rFonts w:ascii="PT Astra Serif" w:hAnsi="PT Astra Serif"/>
          <w:bCs/>
          <w:sz w:val="26"/>
          <w:szCs w:val="26"/>
        </w:rPr>
        <w:t xml:space="preserve">/01-07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орядка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 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на финансовое обеспечение затрат на </w:t>
      </w:r>
      <w:r>
        <w:rPr>
          <w:rFonts w:ascii="PT Astra Serif" w:hAnsi="PT Astra Serif"/>
          <w:sz w:val="26"/>
          <w:szCs w:val="26"/>
        </w:rPr>
        <w:t xml:space="preserve">проведение</w:t>
      </w:r>
      <w:r>
        <w:rPr>
          <w:rFonts w:ascii="PT Astra Serif" w:hAnsi="PT Astra Serif"/>
          <w:sz w:val="26"/>
          <w:szCs w:val="26"/>
        </w:rPr>
        <w:t xml:space="preserve"> работ</w:t>
      </w:r>
      <w:r>
        <w:rPr>
          <w:rFonts w:ascii="PT Astra Serif" w:hAnsi="PT Astra Serif"/>
          <w:sz w:val="26"/>
          <w:szCs w:val="26"/>
        </w:rPr>
        <w:t xml:space="preserve"> по </w:t>
      </w:r>
      <w:r>
        <w:rPr>
          <w:rFonts w:ascii="PT Astra Serif" w:hAnsi="PT Astra Serif"/>
          <w:sz w:val="26"/>
          <w:szCs w:val="26"/>
        </w:rPr>
        <w:t xml:space="preserve">объекту</w:t>
      </w:r>
      <w:r>
        <w:rPr>
          <w:rFonts w:ascii="PT Astra Serif" w:hAnsi="PT Astra Serif"/>
          <w:sz w:val="26"/>
          <w:szCs w:val="26"/>
        </w:rPr>
        <w:t xml:space="preserve"> «Выявленный  объект</w:t>
      </w:r>
      <w:r>
        <w:rPr>
          <w:rFonts w:ascii="PT Astra Serif" w:hAnsi="PT Astra Serif"/>
          <w:sz w:val="26"/>
          <w:szCs w:val="26"/>
        </w:rPr>
        <w:t xml:space="preserve"> культурного наследия «Компл</w:t>
      </w:r>
      <w:r>
        <w:rPr>
          <w:rFonts w:ascii="PT Astra Serif" w:hAnsi="PT Astra Serif"/>
          <w:sz w:val="26"/>
          <w:szCs w:val="26"/>
        </w:rPr>
        <w:t xml:space="preserve">екс Мариинского детского приюта</w:t>
      </w:r>
      <w:r>
        <w:rPr>
          <w:rFonts w:ascii="PT Astra Serif" w:hAnsi="PT Astra Serif"/>
          <w:sz w:val="26"/>
          <w:szCs w:val="26"/>
        </w:rPr>
        <w:t xml:space="preserve"> построенного по образцовому проекту в стиле классицизм на средства А.И. Асташева»</w:t>
      </w:r>
      <w:r>
        <w:rPr>
          <w:rFonts w:ascii="PT Astra Serif" w:hAnsi="PT Astra Serif"/>
          <w:sz w:val="26"/>
          <w:szCs w:val="26"/>
        </w:rPr>
        <w:t xml:space="preserve"> 1848г.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он.XIX-нач</w:t>
      </w:r>
      <w:r>
        <w:rPr>
          <w:rFonts w:ascii="PT Astra Serif" w:hAnsi="PT Astra Serif"/>
          <w:sz w:val="26"/>
          <w:szCs w:val="26"/>
        </w:rPr>
        <w:t xml:space="preserve">.Х</w:t>
      </w:r>
      <w:r>
        <w:rPr>
          <w:rFonts w:ascii="PT Astra Serif" w:hAnsi="PT Astra Serif"/>
          <w:sz w:val="26"/>
          <w:szCs w:val="26"/>
        </w:rPr>
        <w:t xml:space="preserve">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вв</w:t>
      </w:r>
      <w:r>
        <w:rPr>
          <w:rFonts w:ascii="PT Astra Serif" w:hAnsi="PT Astra Serif"/>
          <w:sz w:val="26"/>
          <w:szCs w:val="26"/>
        </w:rPr>
        <w:t xml:space="preserve">». Капитальный ремонт </w:t>
      </w:r>
      <w:r>
        <w:rPr>
          <w:rFonts w:ascii="PT Astra Serif" w:hAnsi="PT Astra Serif"/>
          <w:sz w:val="26"/>
          <w:szCs w:val="26"/>
        </w:rPr>
        <w:t xml:space="preserve">(ремонтно-реставрационные работы) части первого этажа здания ОГАУЗ «ТФМЦ»</w:t>
      </w:r>
      <w:r>
        <w:rPr>
          <w:rFonts w:ascii="PT Astra Serif" w:hAnsi="PT Astra Serif"/>
          <w:sz w:val="26"/>
          <w:szCs w:val="26"/>
        </w:rPr>
        <w:t xml:space="preserve">, по адресу: г. Томск, ул. Р.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Люксембург, 17»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муниципальным правовым актам, ус</w:t>
      </w:r>
      <w:r>
        <w:rPr>
          <w:rFonts w:ascii="PT Astra Serif" w:hAnsi="PT Astra Serif"/>
          <w:sz w:val="26"/>
          <w:szCs w:val="26"/>
        </w:rPr>
        <w:t xml:space="preserve">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Утвердить Порядок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 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проведение работ по объекту</w:t>
      </w:r>
      <w:r>
        <w:rPr>
          <w:rFonts w:ascii="PT Astra Serif" w:hAnsi="PT Astra Serif"/>
          <w:sz w:val="26"/>
          <w:szCs w:val="26"/>
        </w:rPr>
        <w:t xml:space="preserve">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/>
          <w:sz w:val="26"/>
          <w:szCs w:val="26"/>
        </w:rPr>
        <w:t xml:space="preserve">кон.XIX-нач</w:t>
      </w:r>
      <w:r>
        <w:rPr>
          <w:rFonts w:ascii="PT Astra Serif" w:hAnsi="PT Astra Serif"/>
          <w:sz w:val="26"/>
          <w:szCs w:val="26"/>
        </w:rPr>
        <w:t xml:space="preserve">.Х</w:t>
      </w:r>
      <w:r>
        <w:rPr>
          <w:rFonts w:ascii="PT Astra Serif" w:hAnsi="PT Astra Serif"/>
          <w:sz w:val="26"/>
          <w:szCs w:val="26"/>
        </w:rPr>
        <w:t xml:space="preserve">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вв</w:t>
      </w:r>
      <w:r>
        <w:rPr>
          <w:rFonts w:ascii="PT Astra Serif" w:hAnsi="PT Astra Serif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/>
          <w:sz w:val="26"/>
          <w:szCs w:val="26"/>
        </w:rPr>
        <w:t xml:space="preserve"> согласно приложению к настоящему приказу.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опубликования, распространяется на правоотношения, возникшие с 1 января 202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года.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/>
      <w:bookmarkStart w:id="0" w:name="_GoBack"/>
      <w:r/>
      <w:bookmarkEnd w:id="0"/>
      <w:r/>
      <w:r/>
    </w:p>
    <w:tbl>
      <w:tblPr>
        <w:tblStyle w:val="78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Е.Е.Ярославцева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  <w:r/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567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4821"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приказом Комитета по охране объектов культурного наследия  Томской области</w:t>
      </w:r>
      <w:r/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15.03.2022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 0039/01-07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/>
          <w:sz w:val="26"/>
          <w:szCs w:val="26"/>
        </w:rPr>
        <w:t xml:space="preserve">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/>
          <w:sz w:val="26"/>
          <w:szCs w:val="26"/>
        </w:rPr>
        <w:t xml:space="preserve">кон.XIX-нач</w:t>
      </w:r>
      <w:r>
        <w:rPr>
          <w:rFonts w:ascii="PT Astra Serif" w:hAnsi="PT Astra Serif"/>
          <w:sz w:val="26"/>
          <w:szCs w:val="26"/>
        </w:rPr>
        <w:t xml:space="preserve">.Х</w:t>
      </w:r>
      <w:r>
        <w:rPr>
          <w:rFonts w:ascii="PT Astra Serif" w:hAnsi="PT Astra Serif"/>
          <w:sz w:val="26"/>
          <w:szCs w:val="26"/>
        </w:rPr>
        <w:t xml:space="preserve">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вв</w:t>
      </w:r>
      <w:r>
        <w:rPr>
          <w:rFonts w:ascii="PT Astra Serif" w:hAnsi="PT Astra Serif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78"/>
        <w:numPr>
          <w:ilvl w:val="0"/>
          <w:numId w:val="14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</w:t>
      </w:r>
      <w:r>
        <w:rPr>
          <w:rFonts w:ascii="PT Astra Serif" w:hAnsi="PT Astra Serif"/>
          <w:sz w:val="26"/>
          <w:szCs w:val="26"/>
        </w:rPr>
        <w:t xml:space="preserve">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</w:t>
      </w:r>
      <w:r>
        <w:rPr>
          <w:rFonts w:ascii="PT Astra Serif" w:hAnsi="PT Astra Serif"/>
          <w:sz w:val="26"/>
          <w:szCs w:val="26"/>
        </w:rPr>
        <w:t xml:space="preserve">Настоящий Порядок устанавливает правила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 использованию памятников истории и 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субсидии)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отношении которого Комитет по охране объектов культурного наследия Томской области (далее – Комитет) осуществляет функции и полномочия учредителя, </w:t>
      </w:r>
      <w:r>
        <w:rPr>
          <w:rFonts w:ascii="PT Astra Serif" w:hAnsi="PT Astra Serif"/>
          <w:sz w:val="26"/>
          <w:szCs w:val="26"/>
        </w:rPr>
        <w:t xml:space="preserve">субсидии </w:t>
      </w:r>
      <w:r>
        <w:rPr>
          <w:rFonts w:ascii="PT Astra Serif" w:hAnsi="PT Astra Serif"/>
          <w:sz w:val="26"/>
          <w:szCs w:val="26"/>
        </w:rPr>
        <w:t xml:space="preserve">из</w:t>
      </w:r>
      <w:r>
        <w:rPr>
          <w:rFonts w:ascii="PT Astra Serif" w:hAnsi="PT Astra Serif"/>
          <w:sz w:val="26"/>
          <w:szCs w:val="26"/>
        </w:rPr>
        <w:t xml:space="preserve"> областного бюджета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проведение работ по объекту </w:t>
      </w:r>
      <w:r>
        <w:rPr>
          <w:rFonts w:ascii="PT Astra Serif" w:hAnsi="PT Astra Serif"/>
          <w:sz w:val="26"/>
          <w:szCs w:val="26"/>
        </w:rPr>
        <w:t xml:space="preserve">«Выявленный  объект культурного наследия «Комплекс Мариинского детского</w:t>
      </w:r>
      <w:r>
        <w:rPr>
          <w:rFonts w:ascii="PT Astra Serif" w:hAnsi="PT Astra Serif"/>
          <w:sz w:val="26"/>
          <w:szCs w:val="26"/>
        </w:rPr>
        <w:t xml:space="preserve">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/>
          <w:sz w:val="26"/>
          <w:szCs w:val="26"/>
        </w:rPr>
        <w:t xml:space="preserve">кон.XIX-нач</w:t>
      </w:r>
      <w:r>
        <w:rPr>
          <w:rFonts w:ascii="PT Astra Serif" w:hAnsi="PT Astra Serif"/>
          <w:sz w:val="26"/>
          <w:szCs w:val="26"/>
        </w:rPr>
        <w:t xml:space="preserve">.Х</w:t>
      </w:r>
      <w:r>
        <w:rPr>
          <w:rFonts w:ascii="PT Astra Serif" w:hAnsi="PT Astra Serif"/>
          <w:sz w:val="26"/>
          <w:szCs w:val="26"/>
        </w:rPr>
        <w:t xml:space="preserve">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вв</w:t>
      </w:r>
      <w:r>
        <w:rPr>
          <w:rFonts w:ascii="PT Astra Serif" w:hAnsi="PT Astra Serif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</w:t>
      </w:r>
      <w:r>
        <w:rPr>
          <w:rFonts w:ascii="PT Astra Serif" w:hAnsi="PT Astra Serif"/>
          <w:sz w:val="26"/>
          <w:szCs w:val="26"/>
        </w:rPr>
        <w:t xml:space="preserve">Целью п</w:t>
      </w:r>
      <w:r>
        <w:rPr>
          <w:rFonts w:ascii="PT Astra Serif" w:hAnsi="PT Astra Serif"/>
          <w:sz w:val="26"/>
          <w:szCs w:val="26"/>
        </w:rPr>
        <w:t xml:space="preserve">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</w:t>
      </w:r>
      <w:r>
        <w:rPr>
          <w:rFonts w:ascii="PT Astra Serif" w:hAnsi="PT Astra Serif"/>
          <w:sz w:val="26"/>
          <w:szCs w:val="26"/>
        </w:rPr>
        <w:t xml:space="preserve">является</w:t>
      </w:r>
      <w:r>
        <w:rPr>
          <w:rFonts w:ascii="PT Astra Serif" w:hAnsi="PT Astra Serif"/>
          <w:sz w:val="26"/>
          <w:szCs w:val="26"/>
        </w:rPr>
        <w:t xml:space="preserve"> проведение работ по объекту «Выявленный  объект культурного наследия «Комплекс Мариинского детского приюта построенного по образцовому проекту в стиле классицизм на средства А.И. Асташева» 1848г. </w:t>
      </w:r>
      <w:r>
        <w:rPr>
          <w:rFonts w:ascii="PT Astra Serif" w:hAnsi="PT Astra Serif"/>
          <w:sz w:val="26"/>
          <w:szCs w:val="26"/>
        </w:rPr>
        <w:t xml:space="preserve">кон.XIX-нач</w:t>
      </w:r>
      <w:r>
        <w:rPr>
          <w:rFonts w:ascii="PT Astra Serif" w:hAnsi="PT Astra Serif"/>
          <w:sz w:val="26"/>
          <w:szCs w:val="26"/>
        </w:rPr>
        <w:t xml:space="preserve">.Х</w:t>
      </w:r>
      <w:r>
        <w:rPr>
          <w:rFonts w:ascii="PT Astra Serif" w:hAnsi="PT Astra Serif"/>
          <w:sz w:val="26"/>
          <w:szCs w:val="26"/>
        </w:rPr>
        <w:t xml:space="preserve">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вв</w:t>
      </w:r>
      <w:r>
        <w:rPr>
          <w:rFonts w:ascii="PT Astra Serif" w:hAnsi="PT Astra Serif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в рамках реализации мероприятия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Государственной программы «Развитие здравоохранения в Томской области», утвержденной постановлением Администрации Томской области от 27.09.2019 № 353а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утверждении государственной программы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Развитие здравоохранения в Томской области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»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за счет средств областного бюджета, выделенных в 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Законом Томской области от 29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декабря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2021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№ 136-ОЗ «</w:t>
      </w:r>
      <w:r>
        <w:rPr>
          <w:rFonts w:ascii="PT Astra Serif" w:hAnsi="PT Astra Serif" w:eastAsiaTheme="minorHAnsi"/>
          <w:sz w:val="26"/>
          <w:szCs w:val="26"/>
        </w:rPr>
        <w:t xml:space="preserve">Об областном бюджете на 20</w:t>
      </w:r>
      <w:r>
        <w:rPr>
          <w:rFonts w:ascii="PT Astra Serif" w:hAnsi="PT Astra Serif" w:eastAsiaTheme="minorHAnsi"/>
          <w:sz w:val="26"/>
          <w:szCs w:val="26"/>
        </w:rPr>
        <w:t xml:space="preserve">22 год и </w:t>
      </w:r>
      <w:r>
        <w:rPr>
          <w:rFonts w:ascii="PT Astra Serif" w:hAnsi="PT Astra Serif" w:eastAsiaTheme="minorHAnsi"/>
          <w:sz w:val="26"/>
          <w:szCs w:val="26"/>
        </w:rPr>
        <w:t xml:space="preserve">плановый период 2023 и 2024</w:t>
      </w:r>
      <w:r>
        <w:rPr>
          <w:rFonts w:ascii="PT Astra Serif" w:hAnsi="PT Astra Serif" w:eastAsiaTheme="minorHAnsi"/>
          <w:sz w:val="26"/>
          <w:szCs w:val="26"/>
        </w:rPr>
        <w:t xml:space="preserve"> годов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».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Главным распорядителем бюджетных средств, до которого в соответствии с бюджетным законодательством Российской Федерации как получателя бюджетных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средств доведены в установленном порядке лимиты бюджетных обязательств на предоставление субсидии на соответствующий финансовый год, является Комитет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numPr>
          <w:ilvl w:val="0"/>
          <w:numId w:val="14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Условия и </w:t>
      </w:r>
      <w:r>
        <w:rPr>
          <w:rFonts w:ascii="PT Astra Serif" w:hAnsi="PT Astra Serif" w:eastAsiaTheme="minorHAnsi"/>
          <w:sz w:val="26"/>
          <w:szCs w:val="26"/>
        </w:rPr>
        <w:t xml:space="preserve">порядок предоставления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направляет в Комитет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</w:t>
      </w:r>
      <w:r>
        <w:rPr>
          <w:rFonts w:ascii="PT Astra Serif" w:hAnsi="PT Astra Serif" w:eastAsiaTheme="minorHAnsi"/>
          <w:sz w:val="26"/>
          <w:szCs w:val="26"/>
        </w:rPr>
        <w:t xml:space="preserve">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 </w:t>
      </w:r>
      <w:r>
        <w:rPr>
          <w:rFonts w:ascii="PT Astra Serif" w:hAnsi="PT Astra Serif" w:eastAsiaTheme="minorHAnsi"/>
          <w:sz w:val="26"/>
          <w:szCs w:val="26"/>
        </w:rPr>
        <w:t xml:space="preserve">расчет-обоснование суммы субсидии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3) сметную документацию с приложением копии</w:t>
      </w:r>
      <w:r>
        <w:rPr>
          <w:rFonts w:ascii="PT Astra Serif" w:hAnsi="PT Astra Serif" w:eastAsiaTheme="minorHAnsi"/>
          <w:sz w:val="26"/>
          <w:szCs w:val="26"/>
        </w:rPr>
        <w:t xml:space="preserve"> заключени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о достоверности определения сметной стоимости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 </w:t>
      </w:r>
      <w:r>
        <w:rPr>
          <w:rFonts w:ascii="PT Astra Serif" w:hAnsi="PT Astra Serif" w:eastAsiaTheme="minorHAnsi"/>
          <w:sz w:val="26"/>
          <w:szCs w:val="26"/>
        </w:rPr>
        <w:t xml:space="preserve">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, за</w:t>
      </w:r>
      <w:r>
        <w:rPr>
          <w:rFonts w:ascii="PT Astra Serif" w:hAnsi="PT Astra Serif" w:eastAsiaTheme="minorHAnsi"/>
          <w:sz w:val="26"/>
          <w:szCs w:val="26"/>
        </w:rPr>
        <w:t xml:space="preserve">веренные получателем субсидии;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4) техническое задание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работ </w:t>
      </w:r>
      <w:r>
        <w:rPr>
          <w:rFonts w:ascii="PT Astra Serif" w:hAnsi="PT Astra Serif" w:eastAsiaTheme="minorHAnsi"/>
          <w:sz w:val="26"/>
          <w:szCs w:val="26"/>
        </w:rPr>
        <w:t xml:space="preserve">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, заверенное получателем субсидии.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5.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реестра юридических лиц, полученную не ранее чем за один месяц до дня обращения получателя субсидии с пояснительной запиской на получение субсидии;</w:t>
      </w:r>
      <w:r>
        <w:rPr>
          <w:rFonts w:eastAsiaTheme="minorHAnsi"/>
        </w:rPr>
      </w:r>
    </w:p>
    <w:p>
      <w:pPr>
        <w:pStyle w:val="777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неисполненной обязанности по уплате налогов, сборов, страхов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ых взносов, пеней, штрафов, процентов, подлежащих уплате в соответствии с законодательством Российской Федерации о налогах и сборах, по состоянию на 1-е число месяца, предшествующего месяцу, в котором планируется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</w:t>
      </w:r>
      <w:r>
        <w:rPr>
          <w:rFonts w:ascii="PT Astra Serif" w:hAnsi="PT Astra Serif" w:cs="Calibri" w:eastAsiaTheme="minorHAnsi"/>
          <w:sz w:val="26"/>
          <w:szCs w:val="26"/>
        </w:rPr>
        <w:t xml:space="preserve">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трех рабочих дней со дня обращения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рассмотрение документов, указанных в пунктах 4, 5 настоящего Порядка,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в течение десяти рабочих дней со дня представления получателем субсидии пояснительной записки,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 предмет достоверности содержащейся в представленных документах информации, </w:t>
      </w:r>
      <w:r>
        <w:rPr>
          <w:rFonts w:ascii="PT Astra Serif" w:hAnsi="PT Astra Serif" w:eastAsiaTheme="minorHAnsi"/>
          <w:sz w:val="26"/>
          <w:szCs w:val="26"/>
        </w:rPr>
        <w:t xml:space="preserve">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</w:t>
      </w:r>
      <w:r>
        <w:rPr>
          <w:rFonts w:ascii="PT Astra Serif" w:hAnsi="PT Astra Serif" w:eastAsiaTheme="minorHAnsi"/>
          <w:sz w:val="26"/>
          <w:szCs w:val="26"/>
        </w:rPr>
        <w:t xml:space="preserve">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6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убсидии рассчитывается по формуле: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78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778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 проведение работ </w:t>
      </w:r>
      <w:r>
        <w:rPr>
          <w:rFonts w:ascii="PT Astra Serif" w:hAnsi="PT Astra Serif" w:eastAsiaTheme="minorHAnsi"/>
          <w:sz w:val="26"/>
          <w:szCs w:val="26"/>
        </w:rPr>
        <w:t xml:space="preserve">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</w:t>
      </w:r>
      <w:r>
        <w:rPr>
          <w:rFonts w:ascii="PT Astra Serif" w:hAnsi="PT Astra Serif" w:eastAsiaTheme="minorHAnsi"/>
          <w:sz w:val="26"/>
          <w:szCs w:val="26"/>
        </w:rPr>
        <w:t xml:space="preserve">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, определяемые на основании сметной </w:t>
      </w:r>
      <w:r>
        <w:rPr>
          <w:rFonts w:ascii="PT Astra Serif" w:hAnsi="PT Astra Serif" w:eastAsiaTheme="minorHAnsi"/>
          <w:sz w:val="26"/>
          <w:szCs w:val="26"/>
        </w:rPr>
        <w:t xml:space="preserve">стоимости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</w:t>
      </w:r>
      <w:r>
        <w:rPr>
          <w:rFonts w:ascii="PT Astra Serif" w:hAnsi="PT Astra Serif" w:eastAsiaTheme="minorHAnsi"/>
          <w:sz w:val="26"/>
          <w:szCs w:val="26"/>
        </w:rPr>
        <w:t xml:space="preserve"> по капитальному ремонту (ремонтно-реставрационным работам)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части первого этажа здания ОГАУЗ «ТФМЦ», по адресу: г. Томск, ул. Р. Люксембург, 17</w:t>
      </w:r>
      <w:r>
        <w:rPr>
          <w:rFonts w:ascii="PT Astra Serif" w:hAnsi="PT Astra Serif" w:eastAsiaTheme="minorHAnsi"/>
          <w:sz w:val="26"/>
          <w:szCs w:val="26"/>
        </w:rPr>
        <w:t xml:space="preserve">, являющегося в</w:t>
      </w:r>
      <w:r>
        <w:rPr>
          <w:rFonts w:ascii="PT Astra Serif" w:hAnsi="PT Astra Serif" w:eastAsiaTheme="minorHAnsi"/>
          <w:sz w:val="26"/>
          <w:szCs w:val="26"/>
        </w:rPr>
        <w:t xml:space="preserve">ыявленн</w:t>
      </w:r>
      <w:r>
        <w:rPr>
          <w:rFonts w:ascii="PT Astra Serif" w:hAnsi="PT Astra Serif" w:eastAsiaTheme="minorHAnsi"/>
          <w:sz w:val="26"/>
          <w:szCs w:val="26"/>
        </w:rPr>
        <w:t xml:space="preserve">ым</w:t>
      </w:r>
      <w:r>
        <w:rPr>
          <w:rFonts w:ascii="PT Astra Serif" w:hAnsi="PT Astra Serif" w:eastAsiaTheme="minorHAnsi"/>
          <w:sz w:val="26"/>
          <w:szCs w:val="26"/>
        </w:rPr>
        <w:t xml:space="preserve">  объект</w:t>
      </w:r>
      <w:r>
        <w:rPr>
          <w:rFonts w:ascii="PT Astra Serif" w:hAnsi="PT Astra Serif" w:eastAsiaTheme="minorHAnsi"/>
          <w:sz w:val="26"/>
          <w:szCs w:val="26"/>
        </w:rPr>
        <w:t xml:space="preserve">ом</w:t>
      </w:r>
      <w:r>
        <w:rPr>
          <w:rFonts w:ascii="PT Astra Serif" w:hAnsi="PT Astra Serif" w:eastAsiaTheme="minorHAnsi"/>
          <w:sz w:val="26"/>
          <w:szCs w:val="26"/>
        </w:rPr>
        <w:t xml:space="preserve"> культурного наследия «Комплекс Мариинского детского приюта построенного по образцовому проекту в стиле классицизм</w:t>
      </w:r>
      <w:r>
        <w:rPr>
          <w:rFonts w:ascii="PT Astra Serif" w:hAnsi="PT Astra Serif" w:eastAsiaTheme="minorHAnsi"/>
          <w:sz w:val="26"/>
          <w:szCs w:val="26"/>
        </w:rPr>
        <w:t xml:space="preserve"> на средства А.И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7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8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19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20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соответствии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1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принятие Комитетом решения, предусмотренного пунктом 21 настоящего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</w:t>
      </w:r>
      <w:r>
        <w:rPr>
          <w:rFonts w:ascii="PT Astra Serif" w:hAnsi="PT Astra Serif" w:cs="Calibri" w:eastAsiaTheme="minorHAnsi"/>
          <w:sz w:val="26"/>
          <w:szCs w:val="26"/>
        </w:rPr>
        <w:t xml:space="preserve">низации в форме присоединения к </w:t>
      </w:r>
      <w:r>
        <w:rPr>
          <w:rFonts w:ascii="PT Astra Serif" w:hAnsi="PT Astra Serif" w:cs="Calibri" w:eastAsiaTheme="minorHAnsi"/>
          <w:sz w:val="26"/>
          <w:szCs w:val="26"/>
        </w:rPr>
        <w:t xml:space="preserve">юридическому лицу, являющемуся получателем субсидии, другого юридического лица)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</w:r>
      <w:r>
        <w:rPr>
          <w:rFonts w:ascii="PT Astra Serif" w:hAnsi="PT Astra Serif" w:cs="Calibri" w:eastAsiaTheme="minorHAnsi"/>
          <w:sz w:val="26"/>
          <w:szCs w:val="26"/>
        </w:rPr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явля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</w:t>
      </w:r>
      <w:r>
        <w:rPr>
          <w:rFonts w:ascii="PT Astra Serif" w:hAnsi="PT Astra Serif" w:eastAsiaTheme="minorHAnsi"/>
          <w:sz w:val="26"/>
          <w:szCs w:val="26"/>
        </w:rPr>
        <w:t xml:space="preserve">е работы по объекту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 в срок до 25 </w:t>
      </w:r>
      <w:r>
        <w:rPr>
          <w:rFonts w:ascii="PT Astra Serif" w:hAnsi="PT Astra Serif" w:eastAsiaTheme="minorHAnsi"/>
          <w:sz w:val="26"/>
          <w:szCs w:val="26"/>
        </w:rPr>
        <w:t xml:space="preserve">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а в случае принятия решения в соответствии с пунктами 18-21 настоящего Порядка в срок до 25 декабря очередного финансового года.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один отремонтированный объект.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</w:t>
      </w:r>
      <w:r>
        <w:rPr>
          <w:rFonts w:ascii="PT Astra Serif" w:hAnsi="PT Astra Serif" w:eastAsiaTheme="minorHAnsi"/>
          <w:sz w:val="26"/>
          <w:szCs w:val="26"/>
        </w:rPr>
        <w:t xml:space="preserve">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3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выполненных работ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numPr>
          <w:ilvl w:val="0"/>
          <w:numId w:val="14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и о достижении результата и </w:t>
      </w:r>
      <w:r>
        <w:rPr>
          <w:rFonts w:ascii="PT Astra Serif" w:hAnsi="PT Astra Serif" w:eastAsiaTheme="minorHAnsi"/>
          <w:sz w:val="26"/>
          <w:szCs w:val="26"/>
        </w:rPr>
        <w:t xml:space="preserve">показателей достижения результата, указанного в пункте 13 настоящего Порядка (далее – отчет),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 к настоящему Порядку.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соглашении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следующие сроки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</w:t>
      </w:r>
      <w:r>
        <w:rPr>
          <w:rFonts w:ascii="PT Astra Serif" w:hAnsi="PT Astra Serif" w:eastAsiaTheme="minorHAnsi"/>
          <w:sz w:val="26"/>
          <w:szCs w:val="26"/>
        </w:rPr>
        <w:t xml:space="preserve">об осуществлении расходов, произве</w:t>
      </w:r>
      <w:r>
        <w:rPr>
          <w:rFonts w:ascii="PT Astra Serif" w:hAnsi="PT Astra Serif" w:eastAsiaTheme="minorHAnsi"/>
          <w:sz w:val="26"/>
          <w:szCs w:val="26"/>
        </w:rPr>
        <w:t xml:space="preserve">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 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 Р. 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 срок до 30 декабря текущего финансового года;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</w:t>
      </w: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</w:t>
      </w:r>
      <w:r>
        <w:rPr>
          <w:rFonts w:ascii="PT Astra Serif" w:hAnsi="PT Astra Serif" w:eastAsiaTheme="minorHAnsi"/>
          <w:sz w:val="26"/>
          <w:szCs w:val="26"/>
        </w:rPr>
        <w:t xml:space="preserve">ремонт (ремонтно-реставрационные работы) части первого этажа здания ОГАУЗ «ТФМЦ», по адресу: г. Томск, ул. Р. Люксембург, 17»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 срок до 30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numPr>
          <w:ilvl w:val="0"/>
          <w:numId w:val="14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контроля за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8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  <w:r>
        <w:rPr>
          <w:rFonts w:eastAsiaTheme="minorHAnsi"/>
        </w:rPr>
      </w:r>
    </w:p>
    <w:p>
      <w:pPr>
        <w:pStyle w:val="777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в соответствии с пунктом 4 настоящего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Порядка </w:t>
      </w:r>
      <w:r>
        <w:rPr>
          <w:rFonts w:ascii="PT Astra Serif" w:hAnsi="PT Astra Serif" w:eastAsiaTheme="minorHAnsi"/>
          <w:sz w:val="26"/>
          <w:szCs w:val="26"/>
        </w:rPr>
        <w:t xml:space="preserve">информацию о наличии у получателя субсидии неисполненных обязательств, источником финан</w:t>
      </w:r>
      <w:r>
        <w:rPr>
          <w:rFonts w:ascii="PT Astra Serif" w:hAnsi="PT Astra Serif" w:eastAsiaTheme="minorHAnsi"/>
          <w:sz w:val="26"/>
          <w:szCs w:val="26"/>
        </w:rPr>
        <w:t xml:space="preserve">сового обеспечения которых являются не использованные на 1 января текущего финансового года остатки субсидии, а также копий документов, подтверждающих наличие и объем указанных обязательств получателя субсидии, заверенных руководителем получателя субсидии.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</w:t>
      </w: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</w:t>
      </w:r>
      <w:r>
        <w:rPr>
          <w:rFonts w:ascii="PT Astra Serif" w:hAnsi="PT Astra Serif" w:eastAsiaTheme="minorHAnsi"/>
          <w:sz w:val="26"/>
          <w:szCs w:val="26"/>
        </w:rPr>
        <w:t xml:space="preserve"> рассматривает их и принимает решение о направлении остатков субсидии в текущем финансовом году на ту же цель или об отказе использования остатков субсидии в текущем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. Решение о направлении остатков субсидии в текущем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2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3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0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  <w:sectPr>
          <w:headerReference w:type="first" r:id="rId11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eastAsiaTheme="minorHAnsi"/>
        </w:rPr>
      </w:r>
    </w:p>
    <w:p>
      <w:pPr>
        <w:contextualSpacing w:val="true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78"/>
        <w:ind w:left="411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778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778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778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 в размере _______ руб.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pStyle w:val="778"/>
        <w:numPr>
          <w:ilvl w:val="0"/>
          <w:numId w:val="1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  <w:r>
        <w:rPr>
          <w:rFonts w:eastAsiaTheme="minorHAnsi"/>
        </w:rPr>
      </w:r>
    </w:p>
    <w:p>
      <w:pPr>
        <w:pStyle w:val="778"/>
        <w:numPr>
          <w:ilvl w:val="0"/>
          <w:numId w:val="1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  <w:r>
        <w:rPr>
          <w:rFonts w:eastAsiaTheme="minorHAnsi"/>
        </w:rPr>
      </w:r>
    </w:p>
    <w:p>
      <w:pPr>
        <w:pStyle w:val="778"/>
        <w:numPr>
          <w:ilvl w:val="0"/>
          <w:numId w:val="1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_____ листах:</w:t>
      </w:r>
      <w:r>
        <w:rPr>
          <w:rFonts w:eastAsiaTheme="minorHAnsi"/>
        </w:rPr>
      </w:r>
    </w:p>
    <w:p>
      <w:pPr>
        <w:pStyle w:val="778"/>
        <w:numPr>
          <w:ilvl w:val="0"/>
          <w:numId w:val="11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  <w:r>
        <w:rPr>
          <w:rFonts w:eastAsiaTheme="minorHAnsi"/>
        </w:rPr>
      </w:r>
    </w:p>
    <w:p>
      <w:pPr>
        <w:pStyle w:val="778"/>
        <w:numPr>
          <w:ilvl w:val="0"/>
          <w:numId w:val="11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  <w:r>
        <w:rPr>
          <w:rFonts w:eastAsiaTheme="minorHAnsi"/>
        </w:rPr>
      </w:r>
    </w:p>
    <w:p>
      <w:pPr>
        <w:pStyle w:val="778"/>
        <w:numPr>
          <w:ilvl w:val="0"/>
          <w:numId w:val="11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  <w:r>
        <w:rPr>
          <w:rFonts w:eastAsiaTheme="minorHAnsi"/>
        </w:rPr>
      </w:r>
    </w:p>
    <w:p>
      <w:pPr>
        <w:ind w:firstLine="709"/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Порядка</w:t>
      </w: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определения объема и услови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</w:t>
      </w:r>
      <w:r>
        <w:rPr>
          <w:rFonts w:ascii="PT Astra Serif" w:hAnsi="PT Astra Serif" w:eastAsiaTheme="minorHAnsi"/>
          <w:sz w:val="20"/>
          <w:szCs w:val="20"/>
        </w:rPr>
        <w:t xml:space="preserve"> культуры» субсидии из областного бюджета на финансовое обеспечение затрат 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</w:t>
      </w:r>
      <w:r>
        <w:rPr>
          <w:rFonts w:ascii="PT Astra Serif" w:hAnsi="PT Astra Serif" w:eastAsiaTheme="minorHAnsi"/>
          <w:sz w:val="20"/>
          <w:szCs w:val="20"/>
        </w:rPr>
        <w:t xml:space="preserve"> Асташева» 1848г. </w:t>
      </w:r>
      <w:r>
        <w:rPr>
          <w:rFonts w:ascii="PT Astra Serif" w:hAnsi="PT Astra Serif" w:eastAsiaTheme="minorHAnsi"/>
          <w:sz w:val="20"/>
          <w:szCs w:val="20"/>
        </w:rPr>
        <w:t xml:space="preserve">кон.XIX-нач</w:t>
      </w:r>
      <w:r>
        <w:rPr>
          <w:rFonts w:ascii="PT Astra Serif" w:hAnsi="PT Astra Serif" w:eastAsiaTheme="minorHAnsi"/>
          <w:sz w:val="20"/>
          <w:szCs w:val="20"/>
        </w:rPr>
        <w:t xml:space="preserve">.Х</w:t>
      </w:r>
      <w:r>
        <w:rPr>
          <w:rFonts w:ascii="PT Astra Serif" w:hAnsi="PT Astra Serif" w:eastAsiaTheme="minorHAnsi"/>
          <w:sz w:val="20"/>
          <w:szCs w:val="20"/>
        </w:rPr>
        <w:t xml:space="preserve">Х</w:t>
      </w:r>
      <w:r>
        <w:rPr>
          <w:rFonts w:ascii="PT Astra Serif" w:hAnsi="PT Astra Serif" w:eastAsiaTheme="minorHAnsi"/>
          <w:sz w:val="20"/>
          <w:szCs w:val="20"/>
        </w:rPr>
        <w:t xml:space="preserve"> </w:t>
      </w:r>
      <w:r>
        <w:rPr>
          <w:rFonts w:ascii="PT Astra Serif" w:hAnsi="PT Astra Serif" w:eastAsiaTheme="minorHAnsi"/>
          <w:sz w:val="20"/>
          <w:szCs w:val="20"/>
        </w:rPr>
        <w:t xml:space="preserve">вв</w:t>
      </w:r>
      <w:r>
        <w:rPr>
          <w:rFonts w:ascii="PT Astra Serif" w:hAnsi="PT Astra Serif" w:eastAsiaTheme="minorHAnsi"/>
          <w:sz w:val="20"/>
          <w:szCs w:val="20"/>
        </w:rPr>
        <w:t xml:space="preserve">». Капитальный ремонт (ремонтно-реставрационные работы) части первого этажа здания ОГАУЗ «ТФМЦ»,  адресу: г. Томск, ул. Р. Люксембург, 17»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Начальник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                                            ____</w:t>
      </w:r>
      <w:r>
        <w:rPr>
          <w:rFonts w:ascii="PT Astra Serif" w:hAnsi="PT Astra Serif" w:eastAsiaTheme="minorHAnsi"/>
          <w:sz w:val="26"/>
          <w:szCs w:val="26"/>
        </w:rPr>
        <w:t xml:space="preserve">___</w:t>
      </w:r>
      <w:r>
        <w:rPr>
          <w:rFonts w:ascii="PT Astra Serif" w:hAnsi="PT Astra Serif" w:eastAsiaTheme="minorHAnsi"/>
          <w:sz w:val="26"/>
          <w:szCs w:val="26"/>
        </w:rPr>
        <w:t xml:space="preserve">_________</w:t>
      </w:r>
      <w:r>
        <w:rPr>
          <w:rFonts w:ascii="PT Astra Serif" w:hAnsi="PT Astra Serif" w:eastAsiaTheme="minorHAnsi"/>
          <w:sz w:val="26"/>
          <w:szCs w:val="26"/>
        </w:rPr>
        <w:t xml:space="preserve">________</w:t>
      </w:r>
      <w:r>
        <w:rPr>
          <w:rFonts w:ascii="PT Astra Serif" w:hAnsi="PT Astra Serif" w:eastAsiaTheme="minorHAnsi"/>
          <w:sz w:val="26"/>
          <w:szCs w:val="26"/>
        </w:rPr>
        <w:t xml:space="preserve">_________      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</w:t>
      </w:r>
      <w:r>
        <w:rPr>
          <w:rFonts w:ascii="PT Astra Serif" w:hAnsi="PT Astra Serif" w:eastAsiaTheme="minorHAnsi"/>
          <w:sz w:val="20"/>
          <w:szCs w:val="20"/>
        </w:rPr>
        <w:t xml:space="preserve">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, имя, отчество, последнее – при наличии</w:t>
      </w:r>
      <w:r>
        <w:rPr>
          <w:rFonts w:ascii="PT Astra Serif" w:hAnsi="PT Astra Serif" w:eastAsiaTheme="minorHAnsi"/>
          <w:sz w:val="20"/>
          <w:szCs w:val="20"/>
        </w:rPr>
        <w:t xml:space="preserve">)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М.П.</w:t>
      </w:r>
      <w:r>
        <w:rPr>
          <w:rFonts w:eastAsiaTheme="minorHAnsi"/>
        </w:rPr>
      </w:r>
    </w:p>
    <w:p>
      <w:pPr>
        <w:pStyle w:val="778"/>
        <w:ind w:left="0" w:firstLine="709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78"/>
        <w:ind w:left="0" w:firstLine="709"/>
        <w:jc w:val="both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headerReference w:type="first" r:id="rId12"/>
          <w:footnotePr/>
          <w:endnotePr/>
          <w:type w:val="nextPage"/>
          <w:pgSz w:w="11906" w:h="16838" w:orient="portrait"/>
          <w:pgMar w:top="567" w:right="567" w:bottom="993" w:left="1134" w:header="709" w:footer="709" w:gutter="0"/>
          <w:pgNumType w:start="7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eastAsiaTheme="minorHAnsi"/>
        </w:rPr>
      </w:r>
    </w:p>
    <w:p>
      <w:pPr>
        <w:pStyle w:val="778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777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субсидии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на выполнение работ по сохранению объектов культурного наследия, расположенных на территории Томской области</w:t>
      </w:r>
      <w:r>
        <w:rPr>
          <w:rFonts w:eastAsiaTheme="minorHAnsi"/>
        </w:rPr>
      </w:r>
    </w:p>
    <w:p>
      <w:pPr>
        <w:pStyle w:val="777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ние культуры «Центр по охране и 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использованию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памятников истории и культуры»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</w:t>
      </w:r>
      <w:r>
        <w:rPr>
          <w:rFonts w:ascii="PT Astra Serif" w:hAnsi="PT Astra Serif" w:eastAsiaTheme="minorHAnsi"/>
          <w:sz w:val="26"/>
          <w:szCs w:val="26"/>
        </w:rPr>
        <w:t xml:space="preserve">ть субсидию, предоставляемую из </w:t>
      </w:r>
      <w:r>
        <w:rPr>
          <w:rFonts w:ascii="PT Astra Serif" w:hAnsi="PT Astra Serif" w:eastAsiaTheme="minorHAnsi"/>
          <w:sz w:val="26"/>
          <w:szCs w:val="26"/>
        </w:rPr>
        <w:t xml:space="preserve">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pStyle w:val="777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10206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5588"/>
        <w:gridCol w:w="1417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</w:t>
      </w:r>
      <w:r>
        <w:rPr>
          <w:rFonts w:ascii="PT Astra Serif" w:hAnsi="PT Astra Serif" w:eastAsiaTheme="minorHAnsi"/>
          <w:sz w:val="26"/>
          <w:szCs w:val="26"/>
        </w:rPr>
        <w:t xml:space="preserve">лненных работ в __</w:t>
      </w:r>
      <w:r>
        <w:rPr>
          <w:rFonts w:ascii="PT Astra Serif" w:hAnsi="PT Astra Serif" w:eastAsiaTheme="minorHAnsi"/>
          <w:sz w:val="26"/>
          <w:szCs w:val="26"/>
        </w:rPr>
        <w:t xml:space="preserve">экз. на _</w:t>
      </w:r>
      <w:r>
        <w:rPr>
          <w:rFonts w:ascii="PT Astra Serif" w:hAnsi="PT Astra Serif" w:eastAsiaTheme="minorHAnsi"/>
          <w:sz w:val="26"/>
          <w:szCs w:val="26"/>
        </w:rPr>
        <w:t xml:space="preserve">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0"/>
          <w:szCs w:val="26"/>
        </w:rPr>
      </w:pPr>
      <w:r>
        <w:rPr>
          <w:rFonts w:ascii="PT Astra Serif" w:hAnsi="PT Astra Serif" w:eastAsiaTheme="minorHAnsi"/>
          <w:sz w:val="20"/>
          <w:szCs w:val="26"/>
        </w:rPr>
      </w:r>
      <w:r>
        <w:rPr>
          <w:rFonts w:eastAsiaTheme="minorHAnsi"/>
        </w:rPr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838"/>
      </w:tblGrid>
      <w:tr>
        <w:trPr/>
        <w:tc>
          <w:tcPr>
            <w:shd w:val="clear" w:fill="auto" w:color="auto"/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убсидии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 </w:t>
            </w:r>
            <w:r/>
          </w:p>
          <w:p>
            <w:pPr>
              <w:contextualSpacing w:val="true"/>
              <w:jc w:val="righ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последнее – при наличии)</w:t>
            </w:r>
            <w:r/>
          </w:p>
        </w:tc>
      </w:tr>
    </w:tbl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1906" w:h="16838" w:orient="portrait"/>
          <w:pgMar w:top="567" w:right="567" w:bottom="993" w:left="1134" w:header="709" w:footer="709" w:gutter="0"/>
          <w:pgNumType w:start="8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</w:t>
      </w:r>
      <w:r>
        <w:rPr>
          <w:rFonts w:eastAsiaTheme="minorHAnsi"/>
        </w:rPr>
      </w:r>
    </w:p>
    <w:p>
      <w:pPr>
        <w:contextualSpacing w:val="true"/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</w:t>
      </w:r>
      <w:r>
        <w:rPr>
          <w:rFonts w:ascii="PT Astra Serif" w:hAnsi="PT Astra Serif" w:eastAsiaTheme="minorHAnsi"/>
          <w:sz w:val="26"/>
          <w:szCs w:val="26"/>
        </w:rPr>
        <w:t xml:space="preserve">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778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77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77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изведенных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объекту</w:t>
      </w:r>
      <w:r>
        <w:rPr>
          <w:rFonts w:ascii="PT Astra Serif" w:hAnsi="PT Astra Serif" w:eastAsiaTheme="minorHAnsi"/>
          <w:sz w:val="26"/>
          <w:szCs w:val="26"/>
        </w:rPr>
        <w:t xml:space="preserve">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eastAsiaTheme="minorHAnsi"/>
        </w:rPr>
      </w:r>
    </w:p>
    <w:p>
      <w:pPr>
        <w:pStyle w:val="777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</w:tbl>
    <w:tbl>
      <w:tblPr>
        <w:tblStyle w:val="786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разрешенный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возврат дебиторской задолженности 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требуется в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направлении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на те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78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spacing w:lineRule="auto" w:line="233"/>
        <w:widowControl w:val="off"/>
        <w:tabs>
          <w:tab w:val="left" w:pos="1977" w:leader="none"/>
          <w:tab w:val="center" w:pos="4677" w:leader="none"/>
        </w:tabs>
        <w:rPr>
          <w:rFonts w:ascii="PT Astra Serif" w:hAnsi="PT Astra Serif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9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 проведение работ по объекту 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 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78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77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77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на проведение работ по объекту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«Выявленный  объект культурного наследия «Комплекс Мариинского детского приюта построенного по образцовому проекту в стиле классицизм на средства А.И.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Асташева» 1848г. </w:t>
      </w:r>
      <w:r>
        <w:rPr>
          <w:rFonts w:ascii="PT Astra Serif" w:hAnsi="PT Astra Serif" w:eastAsiaTheme="minorHAnsi"/>
          <w:sz w:val="26"/>
          <w:szCs w:val="26"/>
        </w:rPr>
        <w:t xml:space="preserve">кон.XIX-нач</w:t>
      </w:r>
      <w:r>
        <w:rPr>
          <w:rFonts w:ascii="PT Astra Serif" w:hAnsi="PT Astra Serif" w:eastAsiaTheme="minorHAnsi"/>
          <w:sz w:val="26"/>
          <w:szCs w:val="26"/>
        </w:rPr>
        <w:t xml:space="preserve">.Х</w:t>
      </w:r>
      <w:r>
        <w:rPr>
          <w:rFonts w:ascii="PT Astra Serif" w:hAnsi="PT Astra Serif" w:eastAsiaTheme="minorHAnsi"/>
          <w:sz w:val="26"/>
          <w:szCs w:val="26"/>
        </w:rPr>
        <w:t xml:space="preserve">Х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вв</w:t>
      </w:r>
      <w:r>
        <w:rPr>
          <w:rFonts w:ascii="PT Astra Serif" w:hAnsi="PT Astra Serif" w:eastAsiaTheme="minorHAnsi"/>
          <w:sz w:val="26"/>
          <w:szCs w:val="26"/>
        </w:rPr>
        <w:t xml:space="preserve">». Капитальный ремонт (ремонтно-реставрационные работы) части первого этажа здания ОГАУЗ «ТФМЦ», по адресу: г. Томск, ул. Р. Люксембург, 17» на </w:t>
      </w:r>
      <w:r>
        <w:rPr>
          <w:rFonts w:ascii="PT Astra Serif" w:hAnsi="PT Astra Serif" w:eastAsiaTheme="minorHAnsi"/>
          <w:sz w:val="26"/>
          <w:szCs w:val="26"/>
        </w:rPr>
        <w:t xml:space="preserve">___________20__г.</w:t>
      </w:r>
      <w:r>
        <w:rPr>
          <w:rFonts w:eastAsiaTheme="minorHAnsi"/>
        </w:rPr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  <w:r/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  <w:r/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/>
        <w:tc>
          <w:tcPr>
            <w:gridSpan w:val="2"/>
            <w:tcW w:w="648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  <w:r/>
          </w:p>
        </w:tc>
        <w:tc>
          <w:tcPr>
            <w:gridSpan w:val="2"/>
            <w:tcW w:w="4847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gridSpan w:val="3"/>
            <w:tcW w:w="269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  <w:r/>
          </w:p>
        </w:tc>
      </w:tr>
      <w:tr>
        <w:trPr/>
        <w:tc>
          <w:tcPr>
            <w:gridSpan w:val="2"/>
            <w:tcW w:w="648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4847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64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  <w:r/>
          </w:p>
        </w:tc>
        <w:tc>
          <w:tcPr>
            <w:gridSpan w:val="2"/>
            <w:tcW w:w="484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gridSpan w:val="2"/>
            <w:tcW w:w="127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tbl>
      <w:tblPr>
        <w:tblStyle w:val="78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  <w:r/>
          </w:p>
        </w:tc>
      </w:tr>
    </w:tbl>
    <w:p>
      <w:pPr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sectPr>
      <w:headerReference w:type="default" r:id="rId13"/>
      <w:footnotePr/>
      <w:endnotePr/>
      <w:type w:val="nextPage"/>
      <w:pgSz w:w="11906" w:h="16838" w:orient="portrait"/>
      <w:pgMar w:top="1134" w:right="567" w:bottom="1134" w:left="1701" w:header="709" w:footer="709" w:gutter="0"/>
      <w:pgNumType w:start="1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04966742"/>
      <w:rPr>
        <w:rFonts w:ascii="PT Astra Serif" w:hAnsi="PT Astra Serif"/>
        <w:sz w:val="26"/>
        <w:szCs w:val="26"/>
      </w:rPr>
    </w:sdtPr>
    <w:sdtContent>
      <w:p>
        <w:pPr>
          <w:pStyle w:val="771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5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771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  <w:tabs>
        <w:tab w:val="center" w:pos="5102" w:leader="none"/>
        <w:tab w:val="left" w:pos="5947" w:leader="none"/>
      </w:tabs>
    </w:pPr>
    <w:r>
      <w:tab/>
    </w:r>
    <w:r>
      <w:tab/>
    </w:r>
    <w:r>
      <w:tab/>
    </w:r>
    <w:r/>
  </w:p>
  <w:p>
    <w:pPr>
      <w:pStyle w:val="771"/>
      <w:jc w:val="center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14250773"/>
      <w:rPr/>
    </w:sdtPr>
    <w:sdtContent>
      <w:p>
        <w:pPr>
          <w:pStyle w:val="77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11</w:t>
        </w:r>
        <w:r>
          <w:fldChar w:fldCharType="end"/>
        </w:r>
        <w:r/>
      </w:p>
    </w:sdtContent>
  </w:sdt>
  <w:p>
    <w:pPr>
      <w:pStyle w:val="771"/>
      <w:jc w:val="center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12</w:t>
    </w:r>
    <w:r>
      <w:fldChar w:fldCharType="end"/>
    </w:r>
    <w:r/>
  </w:p>
  <w:p>
    <w:pPr>
      <w:pStyle w:val="771"/>
      <w:jc w:val="center"/>
      <w:rPr>
        <w:rFonts w:ascii="PT Astra Serif" w:hAnsi="PT Astra Serif"/>
        <w:sz w:val="18"/>
      </w:rPr>
    </w:pPr>
    <w:r>
      <w:rPr>
        <w:rFonts w:ascii="PT Astra Serif" w:hAnsi="PT Astra Serif"/>
        <w:sz w:val="18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67"/>
    <w:link w:val="766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65"/>
    <w:next w:val="76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67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65"/>
    <w:next w:val="76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67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65"/>
    <w:next w:val="76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67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65"/>
    <w:next w:val="76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67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65"/>
    <w:next w:val="76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67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65"/>
    <w:next w:val="76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67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65"/>
    <w:next w:val="76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67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65"/>
    <w:next w:val="76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67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65"/>
    <w:next w:val="76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67"/>
    <w:link w:val="32"/>
    <w:uiPriority w:val="10"/>
    <w:rPr>
      <w:sz w:val="48"/>
      <w:szCs w:val="48"/>
    </w:rPr>
  </w:style>
  <w:style w:type="paragraph" w:styleId="34">
    <w:name w:val="Subtitle"/>
    <w:basedOn w:val="765"/>
    <w:next w:val="76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67"/>
    <w:link w:val="34"/>
    <w:uiPriority w:val="11"/>
    <w:rPr>
      <w:sz w:val="24"/>
      <w:szCs w:val="24"/>
    </w:rPr>
  </w:style>
  <w:style w:type="paragraph" w:styleId="36">
    <w:name w:val="Quote"/>
    <w:basedOn w:val="765"/>
    <w:next w:val="76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65"/>
    <w:next w:val="765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67"/>
    <w:link w:val="771"/>
    <w:uiPriority w:val="99"/>
  </w:style>
  <w:style w:type="character" w:styleId="43">
    <w:name w:val="Footer Char"/>
    <w:basedOn w:val="767"/>
    <w:link w:val="773"/>
    <w:uiPriority w:val="99"/>
  </w:style>
  <w:style w:type="paragraph" w:styleId="44">
    <w:name w:val="Caption"/>
    <w:basedOn w:val="765"/>
    <w:next w:val="76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73"/>
    <w:uiPriority w:val="99"/>
  </w:style>
  <w:style w:type="table" w:styleId="47">
    <w:name w:val="Table Grid Light"/>
    <w:basedOn w:val="76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6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6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6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6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6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783"/>
    <w:uiPriority w:val="99"/>
    <w:rPr>
      <w:sz w:val="18"/>
    </w:rPr>
  </w:style>
  <w:style w:type="character" w:styleId="177">
    <w:name w:val="Endnote Text Char"/>
    <w:link w:val="780"/>
    <w:uiPriority w:val="99"/>
    <w:rPr>
      <w:sz w:val="20"/>
    </w:rPr>
  </w:style>
  <w:style w:type="paragraph" w:styleId="179">
    <w:name w:val="toc 1"/>
    <w:basedOn w:val="765"/>
    <w:next w:val="765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65"/>
    <w:next w:val="765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65"/>
    <w:next w:val="765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65"/>
    <w:next w:val="765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65"/>
    <w:next w:val="765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65"/>
    <w:next w:val="765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65"/>
    <w:next w:val="765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65"/>
    <w:next w:val="765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65"/>
    <w:next w:val="765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65"/>
    <w:next w:val="765"/>
    <w:uiPriority w:val="99"/>
    <w:unhideWhenUsed/>
    <w:pPr>
      <w:spacing w:after="0" w:afterAutospacing="0"/>
    </w:pPr>
  </w:style>
  <w:style w:type="paragraph" w:styleId="765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766">
    <w:name w:val="Heading 1"/>
    <w:basedOn w:val="765"/>
    <w:next w:val="765"/>
    <w:link w:val="77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66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771">
    <w:name w:val="Header"/>
    <w:basedOn w:val="765"/>
    <w:link w:val="772"/>
    <w:uiPriority w:val="99"/>
    <w:pPr>
      <w:tabs>
        <w:tab w:val="center" w:pos="4677" w:leader="none"/>
        <w:tab w:val="right" w:pos="9355" w:leader="none"/>
      </w:tabs>
    </w:pPr>
  </w:style>
  <w:style w:type="character" w:styleId="772" w:customStyle="1">
    <w:name w:val="Верхний колонтитул Знак"/>
    <w:basedOn w:val="767"/>
    <w:link w:val="771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773">
    <w:name w:val="Footer"/>
    <w:basedOn w:val="765"/>
    <w:link w:val="774"/>
    <w:pPr>
      <w:tabs>
        <w:tab w:val="center" w:pos="4677" w:leader="none"/>
        <w:tab w:val="right" w:pos="9355" w:leader="none"/>
      </w:tabs>
    </w:pPr>
  </w:style>
  <w:style w:type="character" w:styleId="774" w:customStyle="1">
    <w:name w:val="Нижний колонтитул Знак"/>
    <w:basedOn w:val="767"/>
    <w:link w:val="773"/>
    <w:rPr>
      <w:rFonts w:ascii="Calibri" w:hAnsi="Calibri" w:cs="Times New Roman" w:eastAsia="Times New Roman"/>
      <w:sz w:val="24"/>
      <w:szCs w:val="24"/>
      <w:lang w:eastAsia="ru-RU"/>
    </w:rPr>
  </w:style>
  <w:style w:type="paragraph" w:styleId="775">
    <w:name w:val="Balloon Text"/>
    <w:basedOn w:val="765"/>
    <w:link w:val="776"/>
    <w:uiPriority w:val="99"/>
    <w:semiHidden/>
    <w:unhideWhenUsed/>
    <w:rPr>
      <w:rFonts w:ascii="Tahoma" w:hAnsi="Tahoma" w:cs="Tahoma"/>
      <w:sz w:val="16"/>
      <w:szCs w:val="16"/>
    </w:rPr>
  </w:style>
  <w:style w:type="character" w:styleId="776" w:customStyle="1">
    <w:name w:val="Текст выноски Знак"/>
    <w:basedOn w:val="767"/>
    <w:link w:val="775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777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778">
    <w:name w:val="List Paragraph"/>
    <w:basedOn w:val="765"/>
    <w:qFormat/>
    <w:uiPriority w:val="34"/>
    <w:pPr>
      <w:contextualSpacing w:val="true"/>
      <w:ind w:left="720"/>
    </w:pPr>
  </w:style>
  <w:style w:type="character" w:styleId="779">
    <w:name w:val="Placeholder Text"/>
    <w:basedOn w:val="767"/>
    <w:uiPriority w:val="99"/>
    <w:semiHidden/>
    <w:rPr>
      <w:color w:val="808080"/>
    </w:rPr>
  </w:style>
  <w:style w:type="paragraph" w:styleId="780">
    <w:name w:val="endnote text"/>
    <w:basedOn w:val="765"/>
    <w:link w:val="781"/>
    <w:uiPriority w:val="99"/>
    <w:semiHidden/>
    <w:unhideWhenUsed/>
    <w:rPr>
      <w:sz w:val="20"/>
      <w:szCs w:val="20"/>
    </w:rPr>
  </w:style>
  <w:style w:type="character" w:styleId="781" w:customStyle="1">
    <w:name w:val="Текст концевой сноски Знак"/>
    <w:basedOn w:val="767"/>
    <w:link w:val="780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782">
    <w:name w:val="endnote reference"/>
    <w:basedOn w:val="767"/>
    <w:uiPriority w:val="99"/>
    <w:semiHidden/>
    <w:unhideWhenUsed/>
    <w:rPr>
      <w:vertAlign w:val="superscript"/>
    </w:rPr>
  </w:style>
  <w:style w:type="paragraph" w:styleId="783">
    <w:name w:val="footnote text"/>
    <w:basedOn w:val="765"/>
    <w:link w:val="784"/>
    <w:uiPriority w:val="99"/>
    <w:unhideWhenUsed/>
    <w:rPr>
      <w:sz w:val="20"/>
      <w:szCs w:val="20"/>
    </w:rPr>
  </w:style>
  <w:style w:type="character" w:styleId="784" w:customStyle="1">
    <w:name w:val="Текст сноски Знак"/>
    <w:basedOn w:val="767"/>
    <w:link w:val="783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785">
    <w:name w:val="footnote reference"/>
    <w:basedOn w:val="767"/>
    <w:uiPriority w:val="99"/>
    <w:semiHidden/>
    <w:unhideWhenUsed/>
    <w:rPr>
      <w:vertAlign w:val="superscript"/>
    </w:rPr>
  </w:style>
  <w:style w:type="table" w:styleId="786">
    <w:name w:val="Table Grid"/>
    <w:basedOn w:val="76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87" w:customStyle="1">
    <w:name w:val="blk"/>
    <w:basedOn w:val="767"/>
  </w:style>
  <w:style w:type="character" w:styleId="788">
    <w:name w:val="Hyperlink"/>
    <w:basedOn w:val="767"/>
    <w:uiPriority w:val="99"/>
    <w:unhideWhenUsed/>
    <w:rPr>
      <w:color w:val="0000FF" w:themeColor="hyperlink"/>
      <w:u w:val="single"/>
    </w:rPr>
  </w:style>
  <w:style w:type="paragraph" w:styleId="789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7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8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9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0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1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2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3" Type="http://schemas.openxmlformats.org/officeDocument/2006/relationships/hyperlink" Target="consultantplus://offline/ref=8BF3C02650D204E211B97AD1DA8FA61A8B3B45E9256B8F286C2010AB146EB11E2A432581CF384F26E0BC6276F242BDEF5FA31EE13835E7B2A3050A40y8q5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B7F55CF2-CCF9-4585-9731-FED9C25C5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45</cp:revision>
  <dcterms:created xsi:type="dcterms:W3CDTF">2022-02-10T08:09:00Z</dcterms:created>
  <dcterms:modified xsi:type="dcterms:W3CDTF">2022-03-16T07:23:53Z</dcterms:modified>
</cp:coreProperties>
</file>