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15.03.2022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    </w:t>
      </w:r>
      <w:r>
        <w:rPr>
          <w:rFonts w:ascii="PT Astra Serif" w:hAnsi="PT Astra Serif"/>
          <w:bCs/>
          <w:sz w:val="26"/>
          <w:szCs w:val="26"/>
        </w:rPr>
        <w:t xml:space="preserve">№</w:t>
      </w:r>
      <w:r>
        <w:rPr>
          <w:rFonts w:ascii="PT Astra Serif" w:hAnsi="PT Astra Serif"/>
          <w:bCs/>
          <w:sz w:val="26"/>
          <w:szCs w:val="26"/>
        </w:rPr>
        <w:t xml:space="preserve"> 00</w:t>
      </w:r>
      <w:r>
        <w:rPr>
          <w:rFonts w:ascii="PT Astra Serif" w:hAnsi="PT Astra Serif"/>
          <w:bCs/>
          <w:sz w:val="26"/>
          <w:szCs w:val="26"/>
        </w:rPr>
        <w:t xml:space="preserve">40</w:t>
      </w:r>
      <w:r>
        <w:rPr>
          <w:rFonts w:ascii="PT Astra Serif" w:hAnsi="PT Astra Serif"/>
          <w:bCs/>
          <w:sz w:val="26"/>
          <w:szCs w:val="26"/>
        </w:rPr>
        <w:t xml:space="preserve">/01-07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орядка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й</w:t>
      </w:r>
      <w:r>
        <w:rPr>
          <w:rFonts w:ascii="PT Astra Serif" w:hAnsi="PT Astra Serif"/>
          <w:sz w:val="26"/>
          <w:szCs w:val="26"/>
        </w:rPr>
        <w:t xml:space="preserve"> предоставления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учреждению культуры «Центр по охране и использованию памятников истории и культуры» </w:t>
      </w:r>
      <w:r>
        <w:rPr>
          <w:rFonts w:ascii="PT Astra Serif" w:hAnsi="PT Astra Serif"/>
          <w:sz w:val="26"/>
          <w:szCs w:val="26"/>
        </w:rPr>
        <w:t xml:space="preserve">субсидии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</w:t>
      </w:r>
      <w:r>
        <w:rPr>
          <w:rFonts w:ascii="PT Astra Serif" w:hAnsi="PT Astra Serif"/>
          <w:sz w:val="26"/>
          <w:szCs w:val="26"/>
        </w:rPr>
        <w:t xml:space="preserve">на финансовое обеспечение затрат на</w:t>
      </w:r>
      <w:r>
        <w:rPr>
          <w:rFonts w:ascii="PT Astra Serif" w:hAnsi="PT Astra Serif"/>
          <w:sz w:val="26"/>
          <w:szCs w:val="26"/>
        </w:rPr>
        <w:t xml:space="preserve"> выполнение работ по сохранению (внутренние</w:t>
      </w:r>
      <w:r>
        <w:rPr>
          <w:rFonts w:ascii="PT Astra Serif" w:hAnsi="PT Astra Serif"/>
          <w:sz w:val="26"/>
          <w:szCs w:val="26"/>
        </w:rPr>
        <w:t xml:space="preserve">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/>
          <w:sz w:val="26"/>
          <w:szCs w:val="26"/>
          <w:lang w:val="en-US"/>
        </w:rPr>
        <w:t xml:space="preserve">XX</w:t>
      </w:r>
      <w:r>
        <w:rPr>
          <w:rFonts w:ascii="PT Astra Serif" w:hAnsi="PT Astra Serif"/>
          <w:sz w:val="26"/>
          <w:szCs w:val="26"/>
        </w:rPr>
        <w:t xml:space="preserve"> в.», по адресу: г. Томск,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</w:t>
      </w:r>
      <w:r>
        <w:rPr>
          <w:rFonts w:ascii="PT Astra Serif" w:hAnsi="PT Astra Serif"/>
          <w:sz w:val="26"/>
          <w:szCs w:val="26"/>
        </w:rPr>
        <w:t xml:space="preserve">.Л</w:t>
      </w:r>
      <w:r>
        <w:rPr>
          <w:rFonts w:ascii="PT Astra Serif" w:hAnsi="PT Astra Serif"/>
          <w:sz w:val="26"/>
          <w:szCs w:val="26"/>
        </w:rPr>
        <w:t xml:space="preserve">енина</w:t>
      </w:r>
      <w:r>
        <w:rPr>
          <w:rFonts w:ascii="PT Astra Serif" w:hAnsi="PT Astra Serif"/>
          <w:sz w:val="26"/>
          <w:szCs w:val="26"/>
        </w:rPr>
        <w:t xml:space="preserve">, 111. </w:t>
      </w:r>
      <w:r>
        <w:rPr>
          <w:rFonts w:ascii="PT Astra Serif" w:hAnsi="PT Astra Serif"/>
          <w:sz w:val="26"/>
          <w:szCs w:val="26"/>
          <w:lang w:val="en-US"/>
        </w:rPr>
        <w:t xml:space="preserve">II</w:t>
      </w:r>
      <w:r>
        <w:rPr>
          <w:rFonts w:ascii="PT Astra Serif" w:hAnsi="PT Astra Serif"/>
          <w:sz w:val="26"/>
          <w:szCs w:val="26"/>
        </w:rPr>
        <w:t xml:space="preserve"> этап (внутренние работы, включая инженерные сети)</w:t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абзацем вторым пункта 1 статьи 78</w:t>
      </w:r>
      <w:r>
        <w:rPr>
          <w:rFonts w:ascii="PT Astra Serif" w:hAnsi="PT Astra Serif"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 Бюджетного кодекса Российской Федерации, постановлением Правительства Российской Федерации от 22.02.2020 № 203 «Об общих требованиях к нормативным правовым актам и муниципальным правовым актам, устанавливающим порядок определения объема и условия предоставления бюджетным и автономным учреждениям субсидий на иные цели», постановлением Администрации Томской области от 24.11.2020 № 558а «Об исполнительных органах государственной власти Томской области</w:t>
      </w:r>
      <w:r>
        <w:rPr>
          <w:rFonts w:ascii="PT Astra Serif" w:hAnsi="PT Astra Serif"/>
          <w:sz w:val="26"/>
          <w:szCs w:val="26"/>
        </w:rPr>
        <w:t xml:space="preserve"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 иные цели»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Утвердить Порядок определения объема и 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областному государственному автономному учреждению культуры «Центр по охране и 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/>
          <w:sz w:val="26"/>
          <w:szCs w:val="26"/>
          <w:lang w:val="en-US"/>
        </w:rPr>
        <w:t xml:space="preserve">XX</w:t>
      </w:r>
      <w:r>
        <w:rPr>
          <w:rFonts w:ascii="PT Astra Serif" w:hAnsi="PT Astra Serif"/>
          <w:sz w:val="26"/>
          <w:szCs w:val="26"/>
        </w:rPr>
        <w:t xml:space="preserve"> в.», по адресу: г. Томск,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</w:t>
      </w:r>
      <w:r>
        <w:rPr>
          <w:rFonts w:ascii="PT Astra Serif" w:hAnsi="PT Astra Serif"/>
          <w:sz w:val="26"/>
          <w:szCs w:val="26"/>
        </w:rPr>
        <w:t xml:space="preserve">.Л</w:t>
      </w:r>
      <w:r>
        <w:rPr>
          <w:rFonts w:ascii="PT Astra Serif" w:hAnsi="PT Astra Serif"/>
          <w:sz w:val="26"/>
          <w:szCs w:val="26"/>
        </w:rPr>
        <w:t xml:space="preserve">енина</w:t>
      </w:r>
      <w:r>
        <w:rPr>
          <w:rFonts w:ascii="PT Astra Serif" w:hAnsi="PT Astra Serif"/>
          <w:sz w:val="26"/>
          <w:szCs w:val="26"/>
        </w:rPr>
        <w:t xml:space="preserve">, 111. </w:t>
      </w:r>
      <w:r>
        <w:rPr>
          <w:rFonts w:ascii="PT Astra Serif" w:hAnsi="PT Astra Serif"/>
          <w:sz w:val="26"/>
          <w:szCs w:val="26"/>
          <w:lang w:val="en-US"/>
        </w:rPr>
        <w:t xml:space="preserve">II</w:t>
      </w:r>
      <w:r>
        <w:rPr>
          <w:rFonts w:ascii="PT Astra Serif" w:hAnsi="PT Astra Serif"/>
          <w:sz w:val="26"/>
          <w:szCs w:val="26"/>
        </w:rPr>
        <w:t xml:space="preserve"> этап (внутренние работы, включая инженерные сети)</w:t>
      </w:r>
      <w:r>
        <w:rPr>
          <w:rFonts w:ascii="PT Astra Serif" w:hAnsi="PT Astra Serif"/>
          <w:sz w:val="26"/>
          <w:szCs w:val="26"/>
        </w:rPr>
        <w:t xml:space="preserve"> согласно приложению к настоящему приказу.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/>
          <w:sz w:val="26"/>
          <w:szCs w:val="26"/>
        </w:rPr>
        <w:t xml:space="preserve">Признать утратившим силу</w:t>
      </w:r>
      <w:r>
        <w:rPr>
          <w:rFonts w:ascii="PT Astra Serif" w:hAnsi="PT Astra Serif"/>
          <w:sz w:val="26"/>
          <w:szCs w:val="26"/>
        </w:rPr>
        <w:t xml:space="preserve"> приказ Комитета по охране объектов культурного наследия Томской области «</w:t>
      </w:r>
      <w:r>
        <w:rPr>
          <w:rFonts w:ascii="PT Astra Serif" w:hAnsi="PT Astra Serif"/>
          <w:sz w:val="26"/>
          <w:szCs w:val="26"/>
        </w:rPr>
        <w:t xml:space="preserve">Об утверждении порядка определения объема и усл</w:t>
      </w:r>
      <w:r>
        <w:rPr>
          <w:rFonts w:ascii="PT Astra Serif" w:hAnsi="PT Astra Serif"/>
          <w:sz w:val="26"/>
          <w:szCs w:val="26"/>
        </w:rPr>
        <w:t xml:space="preserve">овия предоставления ОГАУК «Центр по охране памятников» субсидии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на </w:t>
      </w:r>
      <w:r>
        <w:rPr>
          <w:rFonts w:ascii="PT Astra Serif" w:hAnsi="PT Astra Serif"/>
          <w:sz w:val="26"/>
          <w:szCs w:val="26"/>
        </w:rPr>
        <w:t xml:space="preserve">финансовое обеспечение затрат на выполнение</w:t>
      </w:r>
      <w:r>
        <w:rPr>
          <w:rFonts w:ascii="PT Astra Serif" w:hAnsi="PT Astra Serif"/>
          <w:sz w:val="26"/>
          <w:szCs w:val="26"/>
        </w:rPr>
        <w:t xml:space="preserve"> работ по сохранению (ремонт внутренних помещений) объекта культурного наследия регионального значения «Пассаж Второва, нач.</w:t>
      </w:r>
      <w:r>
        <w:rPr>
          <w:rFonts w:ascii="PT Astra Serif" w:hAnsi="PT Astra Serif"/>
          <w:sz w:val="26"/>
          <w:szCs w:val="26"/>
          <w:lang w:val="en-US"/>
        </w:rPr>
        <w:t xml:space="preserve">XX</w:t>
      </w:r>
      <w:r>
        <w:rPr>
          <w:rFonts w:ascii="PT Astra Serif" w:hAnsi="PT Astra Serif"/>
          <w:sz w:val="26"/>
          <w:szCs w:val="26"/>
        </w:rPr>
        <w:t xml:space="preserve"> в.» по адресу: </w:t>
      </w:r>
      <w:r>
        <w:rPr>
          <w:rFonts w:ascii="PT Astra Serif" w:hAnsi="PT Astra Serif"/>
          <w:sz w:val="26"/>
          <w:szCs w:val="26"/>
        </w:rPr>
        <w:t xml:space="preserve">г</w:t>
      </w:r>
      <w:r>
        <w:rPr>
          <w:rFonts w:ascii="PT Astra Serif" w:hAnsi="PT Astra Serif"/>
          <w:sz w:val="26"/>
          <w:szCs w:val="26"/>
        </w:rPr>
        <w:t xml:space="preserve">.Т</w:t>
      </w:r>
      <w:r>
        <w:rPr>
          <w:rFonts w:ascii="PT Astra Serif" w:hAnsi="PT Astra Serif"/>
          <w:sz w:val="26"/>
          <w:szCs w:val="26"/>
        </w:rPr>
        <w:t xml:space="preserve">омск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пр.Ленина</w:t>
      </w:r>
      <w:r>
        <w:rPr>
          <w:rFonts w:ascii="PT Astra Serif" w:hAnsi="PT Astra Serif"/>
          <w:sz w:val="26"/>
          <w:szCs w:val="26"/>
        </w:rPr>
        <w:t xml:space="preserve">, 111</w:t>
      </w:r>
      <w:r>
        <w:rPr>
          <w:rFonts w:ascii="PT Astra Serif" w:hAnsi="PT Astra Serif"/>
          <w:sz w:val="26"/>
          <w:szCs w:val="26"/>
        </w:rPr>
        <w:t xml:space="preserve">» (</w:t>
      </w:r>
      <w:r>
        <w:rPr>
          <w:rFonts w:ascii="PT Astra Serif" w:hAnsi="PT Astra Serif" w:cs="PT Astra Serif" w:eastAsiaTheme="minorHAnsi"/>
          <w:sz w:val="26"/>
          <w:szCs w:val="26"/>
        </w:rPr>
        <w:t xml:space="preserve">Официальный интернет-портал правовой информации http://www.pravo.gov.ru, 28.01.2022, № </w:t>
      </w:r>
      <w:r>
        <w:rPr>
          <w:rFonts w:ascii="PT Astra Serif" w:hAnsi="PT Astra Serif" w:eastAsia="PT Sans" w:eastAsiaTheme="minorHAnsi"/>
          <w:bCs/>
          <w:sz w:val="26"/>
          <w:szCs w:val="26"/>
          <w:shd w:val="clear" w:fill="FFFFFF" w:color="auto"/>
        </w:rPr>
        <w:t xml:space="preserve">7001202201280001</w:t>
      </w:r>
      <w:r>
        <w:rPr>
          <w:rFonts w:ascii="PT Astra Serif" w:hAnsi="PT Astra Serif" w:eastAsiaTheme="minorHAnsi"/>
          <w:sz w:val="26"/>
          <w:szCs w:val="26"/>
        </w:rPr>
        <w:t xml:space="preserve">).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. Настоящий приказ вступает в силу со дня его официального опубликования, распространяется на правоотношения, возникшие с 1 января 202</w:t>
      </w: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 года.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Контроль за</w:t>
      </w:r>
      <w:r>
        <w:rPr>
          <w:rFonts w:ascii="PT Astra Serif" w:hAnsi="PT Astra Serif" w:eastAsiaTheme="minorHAnsi"/>
          <w:sz w:val="26"/>
          <w:szCs w:val="26"/>
        </w:rPr>
        <w:t xml:space="preserve"> исполнением настоящего приказа </w:t>
      </w:r>
      <w:r>
        <w:rPr>
          <w:rFonts w:ascii="PT Astra Serif" w:hAnsi="PT Astra Serif" w:eastAsiaTheme="minorHAnsi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c>
          <w:tcPr>
            <w:tcW w:w="3284" w:type="dxa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Е.Е.Ярославцева</w:t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Е.Р.Павлова</w:t>
            </w:r>
          </w:p>
        </w:tc>
        <w:tc>
          <w:tcPr>
            <w:tcW w:w="3284" w:type="dxa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285" w:type="dxa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</w:p>
        </w:tc>
      </w:tr>
    </w:tbl>
    <w:p>
      <w:pPr>
        <w:rPr>
          <w:rFonts w:ascii="PT Astra Serif" w:hAnsi="PT Astra Serif"/>
          <w:sz w:val="20"/>
          <w:szCs w:val="20"/>
        </w:rPr>
        <w:sectPr>
          <w:headerReference w:type="even" r:id="rId9"/>
          <w:headerReference w:type="default" r:id="rId10"/>
          <w:headerReference w:type="first" r:id="rId11"/>
          <w:footerReference w:type="even" r:id="rId15"/>
          <w:footerReference w:type="default" r:id="rId16"/>
          <w:footerReference w:type="first" r:id="rId17"/>
          <w:pgSz w:w="11906" w:h="16838"/>
          <w:pgMar w:top="1134" w:right="567" w:bottom="1134" w:left="1701" w:header="567" w:footer="709" w:gutter="0"/>
          <w:cols w:space="708"/>
          <w:docGrid w:linePitch="360"/>
          <w:titlePg/>
        </w:sectPr>
      </w:pPr>
    </w:p>
    <w:p>
      <w:pPr>
        <w:ind w:left="4821"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УТВЕРЖДЕН</w:t>
      </w: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приказом Комитета по охране объектов культурного наследия  Томской области</w:t>
      </w:r>
    </w:p>
    <w:p>
      <w:pPr>
        <w:ind w:left="552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</w:t>
      </w:r>
      <w:r>
        <w:rPr>
          <w:rFonts w:ascii="PT Astra Serif" w:hAnsi="PT Astra Serif" w:eastAsiaTheme="minorHAnsi"/>
          <w:sz w:val="26"/>
          <w:szCs w:val="26"/>
        </w:rPr>
        <w:t xml:space="preserve">15.03.2022</w:t>
      </w:r>
      <w:r>
        <w:rPr>
          <w:rFonts w:ascii="PT Astra Serif" w:hAnsi="PT Astra Serif" w:eastAsiaTheme="minorHAnsi"/>
          <w:sz w:val="26"/>
          <w:szCs w:val="26"/>
        </w:rPr>
        <w:t xml:space="preserve"> № </w:t>
      </w:r>
      <w:r>
        <w:rPr>
          <w:rFonts w:ascii="PT Astra Serif" w:hAnsi="PT Astra Serif" w:eastAsiaTheme="minorHAnsi"/>
          <w:sz w:val="26"/>
          <w:szCs w:val="26"/>
        </w:rPr>
        <w:t xml:space="preserve">0040/01-07</w:t>
      </w:r>
    </w:p>
    <w:p>
      <w:pPr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Порядок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областному государственному автономному учрежде</w:t>
      </w:r>
      <w:r>
        <w:rPr>
          <w:rFonts w:ascii="PT Astra Serif" w:hAnsi="PT Astra Serif" w:eastAsiaTheme="minorHAnsi"/>
          <w:sz w:val="26"/>
          <w:szCs w:val="26"/>
        </w:rPr>
        <w:t xml:space="preserve">нию культуры «Центр по охране и </w:t>
      </w:r>
      <w:r>
        <w:rPr>
          <w:rFonts w:ascii="PT Astra Serif" w:hAnsi="PT Astra Serif" w:eastAsiaTheme="minorHAnsi"/>
          <w:sz w:val="26"/>
          <w:szCs w:val="26"/>
        </w:rPr>
        <w:t xml:space="preserve">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субсидии из 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 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 этап (внутренние работы, включая инженерные сети)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Общие положения о предоставлении субсиди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1. </w:t>
      </w:r>
      <w:r>
        <w:rPr>
          <w:rFonts w:ascii="PT Astra Serif" w:hAnsi="PT Astra Serif" w:eastAsiaTheme="minorHAnsi"/>
          <w:sz w:val="26"/>
          <w:szCs w:val="26"/>
        </w:rPr>
        <w:t xml:space="preserve">Настоящий Порядок устанавливает правила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областному государственному автономному учреждению культуры «Центр по охране и использованию памятников истории и культуры» (далее 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олучатель субсидии)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 отношении которого Комитет по охране объектов культурного наследия Томской области (далее – Комитет) осуществляет функции и полномочия учредителя, </w:t>
      </w:r>
      <w:r>
        <w:rPr>
          <w:rFonts w:ascii="PT Astra Serif" w:hAnsi="PT Astra Serif" w:eastAsiaTheme="minorHAnsi"/>
          <w:sz w:val="26"/>
          <w:szCs w:val="26"/>
        </w:rPr>
        <w:t xml:space="preserve">субсидии </w:t>
      </w:r>
      <w:r>
        <w:rPr>
          <w:rFonts w:ascii="PT Astra Serif" w:hAnsi="PT Astra Serif" w:eastAsiaTheme="minorHAnsi"/>
          <w:sz w:val="26"/>
          <w:szCs w:val="26"/>
        </w:rPr>
        <w:t xml:space="preserve">из</w:t>
      </w:r>
      <w:r>
        <w:rPr>
          <w:rFonts w:ascii="PT Astra Serif" w:hAnsi="PT Astra Serif" w:eastAsiaTheme="minorHAnsi"/>
          <w:sz w:val="26"/>
          <w:szCs w:val="26"/>
        </w:rPr>
        <w:t xml:space="preserve"> областного бюджета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в</w:t>
      </w:r>
      <w:r>
        <w:rPr>
          <w:rFonts w:ascii="PT Astra Serif" w:hAnsi="PT Astra Serif" w:eastAsiaTheme="minorHAnsi"/>
          <w:sz w:val="26"/>
          <w:szCs w:val="26"/>
        </w:rPr>
        <w:t xml:space="preserve">ыполнение работ по </w:t>
      </w:r>
      <w:r>
        <w:rPr>
          <w:rFonts w:ascii="PT Astra Serif" w:hAnsi="PT Astra Serif" w:eastAsiaTheme="minorHAnsi"/>
          <w:sz w:val="26"/>
          <w:szCs w:val="26"/>
        </w:rPr>
        <w:t xml:space="preserve">сохранению (внутренние работы, инженерные сети) объекта культурного наследия</w:t>
      </w:r>
      <w:r>
        <w:rPr>
          <w:rFonts w:ascii="PT Astra Serif" w:hAnsi="PT Astra Serif" w:eastAsiaTheme="minorHAnsi"/>
          <w:sz w:val="26"/>
          <w:szCs w:val="26"/>
        </w:rPr>
        <w:t xml:space="preserve">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 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 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2. </w:t>
      </w:r>
      <w:r>
        <w:rPr>
          <w:rFonts w:ascii="PT Astra Serif" w:hAnsi="PT Astra Serif" w:eastAsiaTheme="minorHAnsi"/>
          <w:sz w:val="26"/>
          <w:szCs w:val="26"/>
        </w:rPr>
        <w:t xml:space="preserve">Целью п</w:t>
      </w:r>
      <w:r>
        <w:rPr>
          <w:rFonts w:ascii="PT Astra Serif" w:hAnsi="PT Astra Serif" w:eastAsiaTheme="minorHAnsi"/>
          <w:sz w:val="26"/>
          <w:szCs w:val="26"/>
        </w:rPr>
        <w:t xml:space="preserve">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</w:t>
      </w:r>
      <w:r>
        <w:rPr>
          <w:rFonts w:ascii="PT Astra Serif" w:hAnsi="PT Astra Serif" w:eastAsiaTheme="minorHAnsi"/>
          <w:sz w:val="26"/>
          <w:szCs w:val="26"/>
        </w:rPr>
        <w:t xml:space="preserve">является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 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Субсидия предоставляется в рамках реализации мероприятия ведомственной целевой программы «Сохранение, использование, популяризация объектов культурного наследия (памятников истор</w:t>
      </w:r>
      <w:r>
        <w:rPr>
          <w:rFonts w:ascii="PT Astra Serif" w:hAnsi="PT Astra Serif" w:eastAsiaTheme="minorHAnsi"/>
          <w:sz w:val="26"/>
          <w:szCs w:val="26"/>
        </w:rPr>
        <w:t xml:space="preserve">ии  культуры), расположенных на </w:t>
      </w:r>
      <w:r>
        <w:rPr>
          <w:rFonts w:ascii="PT Astra Serif" w:hAnsi="PT Astra Serif" w:eastAsiaTheme="minorHAnsi"/>
          <w:sz w:val="26"/>
          <w:szCs w:val="26"/>
        </w:rPr>
        <w:t xml:space="preserve">территории Томской области»</w:t>
      </w:r>
      <w:r>
        <w:rPr>
          <w:rFonts w:ascii="PT Astra Serif" w:hAnsi="PT Astra Serif" w:eastAsiaTheme="minorHAnsi"/>
          <w:sz w:val="26"/>
          <w:szCs w:val="26"/>
        </w:rPr>
        <w:t xml:space="preserve">, утвержденной приказом Комитета от 0</w:t>
      </w:r>
      <w:r>
        <w:rPr>
          <w:rFonts w:ascii="PT Astra Serif" w:hAnsi="PT Astra Serif" w:eastAsiaTheme="minorHAnsi"/>
          <w:sz w:val="26"/>
          <w:szCs w:val="26"/>
        </w:rPr>
        <w:t xml:space="preserve">4</w:t>
      </w:r>
      <w:r>
        <w:rPr>
          <w:rFonts w:ascii="PT Astra Serif" w:hAnsi="PT Astra Serif" w:eastAsiaTheme="minorHAnsi"/>
          <w:sz w:val="26"/>
          <w:szCs w:val="26"/>
        </w:rPr>
        <w:t xml:space="preserve">.03.2022 № 0</w:t>
      </w:r>
      <w:r>
        <w:rPr>
          <w:rFonts w:ascii="PT Astra Serif" w:hAnsi="PT Astra Serif" w:eastAsiaTheme="minorHAnsi"/>
          <w:sz w:val="26"/>
          <w:szCs w:val="26"/>
        </w:rPr>
        <w:t xml:space="preserve">031</w:t>
      </w:r>
      <w:r>
        <w:rPr>
          <w:rFonts w:ascii="PT Astra Serif" w:hAnsi="PT Astra Serif" w:eastAsiaTheme="minorHAnsi"/>
          <w:sz w:val="26"/>
          <w:szCs w:val="26"/>
        </w:rPr>
        <w:t xml:space="preserve">/01-07 «Об утверждении </w:t>
      </w:r>
      <w:r>
        <w:rPr>
          <w:rFonts w:ascii="PT Astra Serif" w:hAnsi="PT Astra Serif" w:eastAsiaTheme="minorHAnsi"/>
          <w:sz w:val="26"/>
          <w:szCs w:val="26"/>
        </w:rPr>
        <w:t xml:space="preserve">В</w:t>
      </w:r>
      <w:r>
        <w:rPr>
          <w:rFonts w:ascii="PT Astra Serif" w:hAnsi="PT Astra Serif" w:eastAsiaTheme="minorHAnsi"/>
          <w:sz w:val="26"/>
          <w:szCs w:val="26"/>
        </w:rPr>
        <w:t xml:space="preserve">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 территории Томской области»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за счет средств областного бюджета, выделенных в 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Законом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Томской области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от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29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декабря 2021 года № 136-ОЗ «</w:t>
      </w:r>
      <w:r>
        <w:rPr>
          <w:rFonts w:ascii="PT Astra Serif" w:hAnsi="PT Astra Serif" w:eastAsiaTheme="minorHAnsi"/>
          <w:sz w:val="26"/>
          <w:szCs w:val="26"/>
        </w:rPr>
        <w:t xml:space="preserve">Об областном бюджете на 2022 год и плановый период 2023 и 2024 годов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».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Главным распорядителем бюджетных средств, до которого в соответствии с бюджетным законодательством Российской Федерации как получателя бюджетных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средств доведены в установленном порядке лимиты бюджетных обязательств на предоставление субсидии на соответствующий финансовый год, является Комитет.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Условия и </w:t>
      </w:r>
      <w:r>
        <w:rPr>
          <w:rFonts w:ascii="PT Astra Serif" w:hAnsi="PT Astra Serif" w:eastAsiaTheme="minorHAnsi"/>
          <w:sz w:val="26"/>
          <w:szCs w:val="26"/>
        </w:rPr>
        <w:t xml:space="preserve">порядок предоставления субсиди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</w:t>
      </w:r>
      <w:r>
        <w:rPr>
          <w:rFonts w:ascii="PT Astra Serif" w:hAnsi="PT Astra Serif" w:eastAsiaTheme="minorHAnsi"/>
          <w:sz w:val="26"/>
          <w:szCs w:val="26"/>
        </w:rPr>
        <w:t xml:space="preserve">в пункте 2 настоящего Порядка,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олучатель субсидии направляет в Комитет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</w:t>
      </w:r>
      <w:r>
        <w:rPr>
          <w:rFonts w:ascii="PT Astra Serif" w:hAnsi="PT Astra Serif" w:eastAsiaTheme="minorHAnsi"/>
          <w:sz w:val="26"/>
          <w:szCs w:val="26"/>
        </w:rPr>
        <w:t xml:space="preserve"> пояснительную записку, содержащую обоснование необходимости предоставления бюджетных средств на цель, указанную в пункте 2 настоящего Порядка, по форме согласно приложению № 1 к настоящему Порядку</w:t>
      </w:r>
      <w:r>
        <w:rPr>
          <w:rFonts w:ascii="PT Astra Serif" w:hAnsi="PT Astra Serif" w:eastAsiaTheme="minorHAnsi"/>
          <w:sz w:val="26"/>
          <w:szCs w:val="26"/>
        </w:rPr>
        <w:t xml:space="preserve">;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 </w:t>
      </w:r>
      <w:r>
        <w:rPr>
          <w:rFonts w:ascii="PT Astra Serif" w:hAnsi="PT Astra Serif" w:eastAsiaTheme="minorHAnsi"/>
          <w:sz w:val="26"/>
          <w:szCs w:val="26"/>
        </w:rPr>
        <w:t xml:space="preserve">ра</w:t>
      </w:r>
      <w:r>
        <w:rPr>
          <w:rFonts w:ascii="PT Astra Serif" w:hAnsi="PT Astra Serif" w:eastAsiaTheme="minorHAnsi"/>
          <w:sz w:val="26"/>
          <w:szCs w:val="26"/>
        </w:rPr>
        <w:t xml:space="preserve">счет-обоснование суммы субсидии</w:t>
      </w:r>
      <w:r>
        <w:rPr>
          <w:rFonts w:ascii="PT Astra Serif" w:hAnsi="PT Astra Serif" w:eastAsiaTheme="minorHAnsi"/>
          <w:sz w:val="26"/>
          <w:szCs w:val="26"/>
        </w:rPr>
        <w:t xml:space="preserve">;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3) сметную документацию с приложением копии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заключени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о 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определения сметной стоимости </w:t>
      </w:r>
      <w:r>
        <w:rPr>
          <w:rFonts w:ascii="PT Astra Serif" w:hAnsi="PT Astra Serif" w:eastAsiaTheme="minorHAnsi"/>
          <w:sz w:val="26"/>
          <w:szCs w:val="26"/>
        </w:rPr>
        <w:t xml:space="preserve">выполнени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 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, заверенные 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;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4) техническое задание</w:t>
      </w:r>
      <w:r>
        <w:rPr>
          <w:rFonts w:ascii="PT Astra Serif" w:hAnsi="PT Astra Serif" w:eastAsiaTheme="minorHAnsi"/>
          <w:sz w:val="26"/>
          <w:szCs w:val="26"/>
        </w:rPr>
        <w:t xml:space="preserve">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 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, заверенное получателем субсидии.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Документы, указанные в </w:t>
      </w:r>
      <w:r>
        <w:rPr>
          <w:rFonts w:ascii="PT Astra Serif" w:hAnsi="PT Astra Serif" w:eastAsiaTheme="minorHAnsi"/>
          <w:sz w:val="26"/>
          <w:szCs w:val="26"/>
        </w:rPr>
        <w:t xml:space="preserve">настоящем</w:t>
      </w:r>
      <w:r>
        <w:rPr>
          <w:rFonts w:ascii="PT Astra Serif" w:hAnsi="PT Astra Serif" w:eastAsiaTheme="minorHAnsi"/>
          <w:sz w:val="26"/>
          <w:szCs w:val="26"/>
        </w:rPr>
        <w:t xml:space="preserve"> пункте, представляются лично, посредством электронной почты либо посредством почтовой связи на бумажном носителе. 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5.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вправе представить по собственной инициативе следующие документы: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реестра юридических лиц, полученную не ранее чем за </w:t>
      </w:r>
      <w:r>
        <w:rPr>
          <w:rFonts w:ascii="PT Astra Serif" w:hAnsi="PT Astra Serif" w:eastAsiaTheme="minorHAnsi"/>
          <w:sz w:val="26"/>
          <w:szCs w:val="26"/>
        </w:rPr>
        <w:t xml:space="preserve">один месяц до дня обращения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олучателя субсидии с </w:t>
      </w:r>
      <w:r>
        <w:rPr>
          <w:rFonts w:ascii="PT Astra Serif" w:hAnsi="PT Astra Serif" w:eastAsiaTheme="minorHAnsi"/>
          <w:sz w:val="26"/>
          <w:szCs w:val="26"/>
        </w:rPr>
        <w:t xml:space="preserve">пояснительной запиской</w:t>
      </w:r>
      <w:r>
        <w:rPr>
          <w:rFonts w:ascii="PT Astra Serif" w:hAnsi="PT Astra Serif" w:eastAsiaTheme="minorHAnsi"/>
          <w:sz w:val="26"/>
          <w:szCs w:val="26"/>
        </w:rPr>
        <w:t xml:space="preserve"> на </w:t>
      </w:r>
      <w:r>
        <w:rPr>
          <w:rFonts w:ascii="PT Astra Serif" w:hAnsi="PT Astra Serif" w:eastAsiaTheme="minorHAnsi"/>
          <w:sz w:val="26"/>
          <w:szCs w:val="26"/>
        </w:rPr>
        <w:t xml:space="preserve">получение субсидии;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неисполненной обязанности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по уплате налогов, сборов, страховых взносов, пеней, штрафов, процентов, подлежащих уплате в соответствии с законодательством Российской Федерации о налогах и сборах, по состоянию на 1-е число месяца, предшествующего месяцу, в котором планируется принятие решения о 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трех</w:t>
      </w:r>
      <w:r>
        <w:rPr>
          <w:rFonts w:ascii="PT Astra Serif" w:hAnsi="PT Astra Serif" w:cs="Calibri" w:eastAsiaTheme="minorHAnsi"/>
          <w:sz w:val="26"/>
          <w:szCs w:val="26"/>
        </w:rPr>
        <w:t xml:space="preserve"> рабочих дней со дня обращения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олучателя субсидии.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рассмотрение документов, указанных в пунктах 4, 5 настоящего Порядка,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в течение десяти рабочих дней со дня </w:t>
      </w:r>
      <w:r>
        <w:rPr>
          <w:rFonts w:ascii="PT Astra Serif" w:hAnsi="PT Astra Serif" w:eastAsiaTheme="minorHAnsi"/>
          <w:sz w:val="26"/>
          <w:szCs w:val="26"/>
        </w:rPr>
        <w:t xml:space="preserve">представления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 пояснительной записки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 предмет достоверности содержащейся в представленных документах информации, </w:t>
      </w:r>
      <w:r>
        <w:rPr>
          <w:rFonts w:ascii="PT Astra Serif" w:hAnsi="PT Astra Serif" w:eastAsiaTheme="minorHAnsi"/>
          <w:sz w:val="26"/>
          <w:szCs w:val="26"/>
        </w:rPr>
        <w:t xml:space="preserve">и принимает решение о предостав</w:t>
      </w:r>
      <w:r>
        <w:rPr>
          <w:rFonts w:ascii="PT Astra Serif" w:hAnsi="PT Astra Serif" w:eastAsiaTheme="minorHAnsi"/>
          <w:sz w:val="26"/>
          <w:szCs w:val="26"/>
        </w:rPr>
        <w:t xml:space="preserve">лении субсидии либо об отказе в 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</w:t>
      </w:r>
      <w:r>
        <w:rPr>
          <w:rFonts w:ascii="PT Astra Serif" w:hAnsi="PT Astra Serif" w:eastAsiaTheme="minorHAnsi"/>
          <w:sz w:val="26"/>
          <w:szCs w:val="26"/>
        </w:rPr>
        <w:t xml:space="preserve">распоряжением</w:t>
      </w:r>
      <w:r>
        <w:rPr>
          <w:rFonts w:ascii="PT Astra Serif" w:hAnsi="PT Astra Serif" w:eastAsiaTheme="minorHAnsi"/>
          <w:sz w:val="26"/>
          <w:szCs w:val="26"/>
        </w:rPr>
        <w:t xml:space="preserve"> Комитета.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 в течение пяти рабочих дня со дня его принятия Комитетом.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</w:t>
      </w:r>
      <w:r>
        <w:rPr>
          <w:rFonts w:ascii="PT Astra Serif" w:hAnsi="PT Astra Serif" w:eastAsiaTheme="minorHAnsi"/>
          <w:sz w:val="26"/>
          <w:szCs w:val="26"/>
        </w:rPr>
        <w:t xml:space="preserve"> субсидии являются: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</w:t>
      </w:r>
      <w:r>
        <w:rPr>
          <w:rFonts w:ascii="PT Astra Serif" w:hAnsi="PT Astra Serif" w:cs="Calibri" w:eastAsiaTheme="minorHAnsi"/>
          <w:sz w:val="26"/>
          <w:szCs w:val="26"/>
        </w:rPr>
        <w:t xml:space="preserve"> несоответствие представленных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олучателем субсидии документов</w:t>
      </w:r>
      <w:r>
        <w:rPr>
          <w:rFonts w:ascii="PT Astra Serif" w:hAnsi="PT Astra Serif" w:cs="Calibri" w:eastAsiaTheme="minorHAnsi"/>
          <w:sz w:val="26"/>
          <w:szCs w:val="26"/>
        </w:rPr>
        <w:t xml:space="preserve"> требованиям, определенным </w:t>
      </w:r>
      <w:r>
        <w:rPr>
          <w:rFonts w:ascii="PT Astra Serif" w:hAnsi="PT Astra Serif" w:cs="Calibri" w:eastAsiaTheme="minorHAnsi"/>
          <w:sz w:val="26"/>
          <w:szCs w:val="26"/>
        </w:rPr>
        <w:t xml:space="preserve">пункт</w:t>
      </w:r>
      <w:r>
        <w:rPr>
          <w:rFonts w:ascii="PT Astra Serif" w:hAnsi="PT Astra Serif" w:cs="Calibri" w:eastAsiaTheme="minorHAnsi"/>
          <w:sz w:val="26"/>
          <w:szCs w:val="26"/>
        </w:rPr>
        <w:t xml:space="preserve">ом</w:t>
      </w:r>
      <w:r>
        <w:rPr>
          <w:rFonts w:ascii="PT Astra Serif" w:hAnsi="PT Astra Serif" w:cs="Calibri" w:eastAsiaTheme="minorHAnsi"/>
          <w:sz w:val="26"/>
          <w:szCs w:val="26"/>
        </w:rPr>
        <w:t xml:space="preserve"> 4 настоящего Порядка</w:t>
      </w:r>
      <w:r>
        <w:rPr>
          <w:rFonts w:ascii="PT Astra Serif" w:hAnsi="PT Astra Serif" w:cs="Calibri" w:eastAsiaTheme="minorHAnsi"/>
          <w:sz w:val="26"/>
          <w:szCs w:val="26"/>
        </w:rPr>
        <w:t xml:space="preserve">;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19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ставленных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достоверности представленной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информации с </w:t>
      </w:r>
      <w:r>
        <w:rPr>
          <w:rFonts w:ascii="PT Astra Serif" w:hAnsi="PT Astra Serif" w:eastAsiaTheme="minorHAnsi"/>
          <w:sz w:val="26"/>
          <w:szCs w:val="26"/>
        </w:rPr>
        <w:t xml:space="preserve">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убсидии рассчитывается по формуле:</w:t>
      </w:r>
    </w:p>
    <w:p>
      <w:pPr>
        <w:pStyle w:val="a9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</w:p>
    <w:p>
      <w:pPr>
        <w:pStyle w:val="a9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</w:p>
    <w:p>
      <w:pPr>
        <w:pStyle w:val="a9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 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определяемые на основании сметной </w:t>
      </w:r>
      <w:r>
        <w:rPr>
          <w:rFonts w:ascii="PT Astra Serif" w:hAnsi="PT Astra Serif" w:eastAsiaTheme="minorHAnsi"/>
          <w:sz w:val="26"/>
          <w:szCs w:val="26"/>
        </w:rPr>
        <w:t xml:space="preserve">стоимости</w:t>
      </w:r>
      <w:r>
        <w:rPr>
          <w:rFonts w:ascii="PT Astra Serif" w:hAnsi="PT Astra Serif" w:eastAsiaTheme="minorHAnsi"/>
          <w:sz w:val="26"/>
          <w:szCs w:val="26"/>
        </w:rPr>
        <w:t xml:space="preserve"> выполнени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 работ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</w:t>
      </w:r>
      <w:r>
        <w:rPr>
          <w:rFonts w:ascii="PT Astra Serif" w:hAnsi="PT Astra Serif" w:eastAsiaTheme="minorHAnsi"/>
          <w:sz w:val="26"/>
          <w:szCs w:val="26"/>
        </w:rPr>
        <w:t xml:space="preserve">.»</w:t>
      </w:r>
      <w:r>
        <w:rPr>
          <w:rFonts w:ascii="PT Astra Serif" w:hAnsi="PT Astra Serif" w:eastAsiaTheme="minorHAnsi"/>
          <w:sz w:val="26"/>
          <w:szCs w:val="26"/>
        </w:rPr>
        <w:t xml:space="preserve">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пр.Ленина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нии документов, представленных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в соответствии с </w:t>
      </w:r>
      <w:hyperlink r:id="rId20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Комитету в областном бюджете на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цель, указанную в </w:t>
      </w:r>
      <w:hyperlink r:id="rId21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 (далее – соглашение). 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субсидии является соответствие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олучателя субсидии требованиям, установленным </w:t>
      </w:r>
      <w:hyperlink r:id="rId22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23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</w:t>
      </w:r>
      <w:r>
        <w:rPr>
          <w:rFonts w:ascii="PT Astra Serif" w:hAnsi="PT Astra Serif" w:cs="Calibri" w:eastAsiaTheme="minorHAnsi"/>
          <w:sz w:val="26"/>
          <w:szCs w:val="26"/>
        </w:rPr>
        <w:t xml:space="preserve">соответствии</w:t>
      </w:r>
      <w:r>
        <w:rPr>
          <w:rFonts w:ascii="PT Astra Serif" w:hAnsi="PT Astra Serif" w:cs="Calibri" w:eastAsiaTheme="minorHAnsi"/>
          <w:sz w:val="26"/>
          <w:szCs w:val="26"/>
        </w:rPr>
        <w:t xml:space="preserve">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</w:t>
      </w:r>
      <w:r>
        <w:rPr>
          <w:rFonts w:ascii="PT Astra Serif" w:hAnsi="PT Astra Serif" w:eastAsiaTheme="minorHAnsi"/>
          <w:sz w:val="26"/>
          <w:szCs w:val="26"/>
        </w:rPr>
        <w:t xml:space="preserve">распоряжения</w:t>
      </w:r>
      <w:r>
        <w:rPr>
          <w:rFonts w:ascii="PT Astra Serif" w:hAnsi="PT Astra Serif" w:eastAsiaTheme="minorHAnsi"/>
          <w:sz w:val="26"/>
          <w:szCs w:val="26"/>
        </w:rPr>
        <w:t xml:space="preserve"> о предоставлении субсидии.</w:t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24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оящего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являются:</w:t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письменного уведомления от Комитета;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принятие Комитетом решения, предусмотренного пунктом 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рабочих дней со дня получения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письменного уведомления от Комитета.</w:t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пункте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9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настоящего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является: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</w:t>
      </w:r>
      <w:r>
        <w:rPr>
          <w:rFonts w:ascii="PT Astra Serif" w:hAnsi="PT Astra Serif" w:cs="Calibri" w:eastAsiaTheme="minorHAnsi"/>
          <w:sz w:val="26"/>
          <w:szCs w:val="26"/>
        </w:rPr>
        <w:t xml:space="preserve">низации в форме присоединения к </w:t>
      </w:r>
      <w:r>
        <w:rPr>
          <w:rFonts w:ascii="PT Astra Serif" w:hAnsi="PT Astra Serif" w:cs="Calibri" w:eastAsiaTheme="minorHAnsi"/>
          <w:sz w:val="26"/>
          <w:szCs w:val="26"/>
        </w:rPr>
        <w:t xml:space="preserve">юридическому лицу, являющемуся получателем субсидии, другого юридического лица)</w:t>
      </w:r>
      <w:r>
        <w:rPr>
          <w:rFonts w:ascii="PT Astra Serif" w:hAnsi="PT Astra Serif" w:cs="Calibri" w:eastAsiaTheme="minorHAnsi"/>
          <w:sz w:val="26"/>
          <w:szCs w:val="26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ликвидация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вследствие которых дополнительное соглашение о расторжении соглашения заключается в течение десяти календарных дней со дня пис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ьменного уведомления Комитетом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олучателя субсидии о реорганизации или ликвидации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целей и условий предоставления субсидии, вследствие которого дополнительное соглашение о расторжении соглашения заключается в течение десяти кал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ендарных дней со дня получения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 письменного уведомления от Комитета о выявлении нарушений;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льтата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органа государственного финансового контроля.</w:t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</w:t>
      </w:r>
      <w:r>
        <w:rPr>
          <w:rFonts w:ascii="PT Astra Serif" w:hAnsi="PT Astra Serif" w:cs="Calibri" w:eastAsiaTheme="minorHAnsi"/>
          <w:sz w:val="26"/>
          <w:szCs w:val="26"/>
        </w:rPr>
        <w:t xml:space="preserve">Пол</w:t>
      </w:r>
      <w:r>
        <w:rPr>
          <w:rFonts w:ascii="PT Astra Serif" w:hAnsi="PT Astra Serif" w:cs="Calibri" w:eastAsiaTheme="minorHAnsi"/>
          <w:sz w:val="26"/>
          <w:szCs w:val="26"/>
        </w:rPr>
        <w:t xml:space="preserve">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ом Федеральной налоговой службы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требование об отсутствии у получателя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просрочен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ной задолженности по возврату в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областной бюджет субсидий, бюджетных инвестиций, предоставленных в том числе в соответствии с иными правовыми актами;</w:t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</w:t>
      </w:r>
      <w:r>
        <w:rPr>
          <w:rFonts w:ascii="PT Astra Serif" w:hAnsi="PT Astra Serif" w:cs="Calibri" w:eastAsiaTheme="minorHAnsi"/>
          <w:sz w:val="26"/>
          <w:szCs w:val="26"/>
        </w:rPr>
        <w:t xml:space="preserve">муся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явля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тся </w:t>
      </w:r>
      <w:r>
        <w:rPr>
          <w:rFonts w:ascii="PT Astra Serif" w:hAnsi="PT Astra Serif" w:eastAsiaTheme="minorHAnsi"/>
          <w:sz w:val="26"/>
          <w:szCs w:val="26"/>
        </w:rPr>
        <w:t xml:space="preserve">выполненны</w:t>
      </w:r>
      <w:r>
        <w:rPr>
          <w:rFonts w:ascii="PT Astra Serif" w:hAnsi="PT Astra Serif" w:eastAsiaTheme="minorHAnsi"/>
          <w:sz w:val="26"/>
          <w:szCs w:val="26"/>
        </w:rPr>
        <w:t xml:space="preserve">е </w:t>
      </w:r>
      <w:r>
        <w:rPr>
          <w:rFonts w:ascii="PT Astra Serif" w:hAnsi="PT Astra Serif" w:eastAsiaTheme="minorHAnsi"/>
          <w:sz w:val="26"/>
          <w:szCs w:val="26"/>
        </w:rPr>
        <w:t xml:space="preserve">работ</w:t>
      </w:r>
      <w:r>
        <w:rPr>
          <w:rFonts w:ascii="PT Astra Serif" w:hAnsi="PT Astra Serif" w:eastAsiaTheme="minorHAnsi"/>
          <w:sz w:val="26"/>
          <w:szCs w:val="26"/>
        </w:rPr>
        <w:t xml:space="preserve">ы</w:t>
      </w:r>
      <w:r>
        <w:rPr>
          <w:rFonts w:ascii="PT Astra Serif" w:hAnsi="PT Astra Serif" w:eastAsiaTheme="minorHAnsi"/>
          <w:sz w:val="26"/>
          <w:szCs w:val="26"/>
        </w:rPr>
        <w:t xml:space="preserve"> по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 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 в срок до 25 </w:t>
      </w:r>
      <w:r>
        <w:rPr>
          <w:rFonts w:ascii="PT Astra Serif" w:hAnsi="PT Astra Serif" w:eastAsiaTheme="minorHAnsi"/>
          <w:sz w:val="26"/>
          <w:szCs w:val="26"/>
        </w:rPr>
        <w:t xml:space="preserve">декабря текущего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а в случае принятия решения в соответствии с пунктами 18-21 настоящего Порядка в срок до 25 декабря очередного финансового года.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</w:t>
      </w:r>
      <w:r>
        <w:rPr>
          <w:rFonts w:ascii="PT Astra Serif" w:hAnsi="PT Astra Serif" w:eastAsiaTheme="minorHAnsi"/>
          <w:sz w:val="26"/>
          <w:szCs w:val="26"/>
        </w:rPr>
        <w:t xml:space="preserve">один отремонтированный объект.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перечисление субсидии в пределах бюджетных ассигнований, предусмотренных в сводной бюджетной росписи на очередной </w:t>
      </w:r>
      <w:r>
        <w:rPr>
          <w:rFonts w:ascii="PT Astra Serif" w:hAnsi="PT Astra Serif" w:eastAsiaTheme="minorHAnsi"/>
          <w:sz w:val="26"/>
          <w:szCs w:val="26"/>
        </w:rPr>
        <w:t xml:space="preserve">финансовый год и плановый период на предоставление субсидий на иные цели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в соответст</w:t>
      </w:r>
      <w:r>
        <w:rPr>
          <w:rFonts w:ascii="PT Astra Serif" w:hAnsi="PT Astra Serif" w:eastAsiaTheme="minorHAnsi"/>
          <w:sz w:val="26"/>
          <w:szCs w:val="26"/>
        </w:rPr>
        <w:t xml:space="preserve">вии с заявкой, предоставленной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3 к настоящему Порядку с приложением документов, подтверждающих возникновение фактической потребности в средствах субсидии:</w:t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выполненных работ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Требования к отчетности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</w:t>
      </w:r>
      <w:r>
        <w:rPr>
          <w:rFonts w:ascii="PT Astra Serif" w:hAnsi="PT Astra Serif" w:eastAsiaTheme="minorHAnsi"/>
          <w:sz w:val="26"/>
          <w:szCs w:val="26"/>
        </w:rPr>
        <w:t xml:space="preserve">влении расходов, произведенных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eastAsiaTheme="minorHAnsi"/>
          <w:sz w:val="26"/>
          <w:szCs w:val="26"/>
        </w:rPr>
        <w:t xml:space="preserve"> и о достижении результата и </w:t>
      </w:r>
      <w:r>
        <w:rPr>
          <w:rFonts w:ascii="PT Astra Serif" w:hAnsi="PT Astra Serif" w:eastAsiaTheme="minorHAnsi"/>
          <w:sz w:val="26"/>
          <w:szCs w:val="26"/>
        </w:rPr>
        <w:t xml:space="preserve">показателей достижения результата, указанного в пункте 13 настоящего Порядка (далее – отчет), по формам, </w:t>
      </w:r>
      <w:r>
        <w:rPr>
          <w:rFonts w:ascii="PT Astra Serif" w:hAnsi="PT Astra Serif" w:cs="Calibri" w:eastAsiaTheme="minorHAnsi"/>
          <w:sz w:val="26"/>
          <w:szCs w:val="26"/>
        </w:rPr>
        <w:t xml:space="preserve">определенным в приложениях №№ 3, 4 к настоящему Порядку.</w:t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</w:t>
      </w:r>
      <w:r>
        <w:rPr>
          <w:rFonts w:ascii="PT Astra Serif" w:hAnsi="PT Astra Serif" w:cs="Calibri" w:eastAsiaTheme="minorHAnsi"/>
          <w:sz w:val="26"/>
          <w:szCs w:val="26"/>
        </w:rPr>
        <w:t xml:space="preserve">с</w:t>
      </w:r>
      <w:r>
        <w:rPr>
          <w:rFonts w:ascii="PT Astra Serif" w:hAnsi="PT Astra Serif" w:cs="Calibri" w:eastAsiaTheme="minorHAnsi"/>
          <w:sz w:val="26"/>
          <w:szCs w:val="26"/>
        </w:rPr>
        <w:t xml:space="preserve">оглашен</w:t>
      </w:r>
      <w:r>
        <w:rPr>
          <w:rFonts w:ascii="PT Astra Serif" w:hAnsi="PT Astra Serif" w:cs="Calibri" w:eastAsiaTheme="minorHAnsi"/>
          <w:sz w:val="26"/>
          <w:szCs w:val="26"/>
        </w:rPr>
        <w:t xml:space="preserve">ии</w:t>
      </w:r>
      <w:r>
        <w:rPr>
          <w:rFonts w:ascii="PT Astra Serif" w:hAnsi="PT Astra Serif" w:cs="Calibri" w:eastAsiaTheme="minorHAnsi"/>
          <w:sz w:val="26"/>
          <w:szCs w:val="26"/>
        </w:rPr>
        <w:t xml:space="preserve"> сроки и формы представления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олучателем субсидии дополнительной отчетности.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следующие сроки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 отчет </w:t>
      </w:r>
      <w:r>
        <w:rPr>
          <w:rFonts w:ascii="PT Astra Serif" w:hAnsi="PT Astra Serif" w:eastAsiaTheme="minorHAnsi"/>
          <w:sz w:val="26"/>
          <w:szCs w:val="26"/>
        </w:rPr>
        <w:t xml:space="preserve">об осуществлении расходов, произве</w:t>
      </w:r>
      <w:r>
        <w:rPr>
          <w:rFonts w:ascii="PT Astra Serif" w:hAnsi="PT Astra Serif" w:eastAsiaTheme="minorHAnsi"/>
          <w:sz w:val="26"/>
          <w:szCs w:val="26"/>
        </w:rPr>
        <w:t xml:space="preserve">денных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 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eastAsiaTheme="minorHAnsi"/>
          <w:sz w:val="26"/>
          <w:szCs w:val="26"/>
        </w:rPr>
        <w:t xml:space="preserve"> в срок до 30 декабря текущего финансового года;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 отчет </w:t>
      </w: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 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eastAsiaTheme="minorHAnsi"/>
          <w:sz w:val="26"/>
          <w:szCs w:val="26"/>
        </w:rPr>
        <w:t xml:space="preserve"> в срок до 30 декабря текущего финансового года.</w:t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numPr>
          <w:numId w:val="14"/>
          <w:ilvl w:val="0"/>
        </w:num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8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правовым актом Комитета.</w:t>
      </w:r>
    </w:p>
    <w:p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в соответствии с пунктом 4 настоящего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Порядка </w:t>
      </w:r>
      <w:r>
        <w:rPr>
          <w:rFonts w:ascii="PT Astra Serif" w:hAnsi="PT Astra Serif" w:eastAsiaTheme="minorHAnsi"/>
          <w:sz w:val="26"/>
          <w:szCs w:val="26"/>
        </w:rPr>
        <w:t xml:space="preserve">информацию о наличии у получателя субсидии неисполненных обязательств, источником финансового обеспечения которых являются не использованные на 1 января текущего финансового года остатки субсидии, а также копий документов, подтверждающих наличие и объем указанных обязательств получателя субсидии, заверенных </w:t>
      </w:r>
      <w:r>
        <w:rPr>
          <w:rFonts w:ascii="PT Astra Serif" w:hAnsi="PT Astra Serif" w:eastAsiaTheme="minorHAnsi"/>
          <w:sz w:val="26"/>
          <w:szCs w:val="26"/>
        </w:rPr>
        <w:t xml:space="preserve">руководителем получателя субсидии.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</w:t>
      </w:r>
      <w:r>
        <w:rPr>
          <w:rFonts w:ascii="PT Astra Serif" w:hAnsi="PT Astra Serif" w:eastAsiaTheme="minorHAnsi"/>
          <w:sz w:val="26"/>
          <w:szCs w:val="26"/>
        </w:rPr>
        <w:t xml:space="preserve">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</w:t>
      </w:r>
      <w:r>
        <w:rPr>
          <w:rFonts w:ascii="PT Astra Serif" w:hAnsi="PT Astra Serif" w:eastAsiaTheme="minorHAnsi"/>
          <w:sz w:val="26"/>
          <w:szCs w:val="26"/>
        </w:rPr>
        <w:t xml:space="preserve">19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рассматривает их и принимает решение о направлении остатков субсидии в текущем финансовом году на ту же цель или об отказе использования остатков субсидии в текущем финансовом году, которое оформляется в письменном виде и направляется получателю субсидии.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. Решение о направлении остатков субсидии в текущем финансовом году на ту же цель принимается в форме распоряжения Комитета.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текущем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год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распоряжением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Комитета.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4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25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5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26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6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Решение об использовании в текущем финансовом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7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</w:t>
      </w:r>
      <w:r>
        <w:rPr>
          <w:rFonts w:ascii="PT Astra Serif" w:hAnsi="PT Astra Serif" w:eastAsiaTheme="minorHAnsi"/>
          <w:sz w:val="26"/>
          <w:szCs w:val="26"/>
        </w:rPr>
        <w:t xml:space="preserve">8</w:t>
      </w:r>
      <w:r>
        <w:rPr>
          <w:rFonts w:ascii="PT Astra Serif" w:hAnsi="PT Astra Serif" w:eastAsiaTheme="minorHAnsi"/>
          <w:sz w:val="26"/>
          <w:szCs w:val="26"/>
        </w:rPr>
        <w:t xml:space="preserve">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0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  <w:sectPr>
          <w:headerReference w:type="first" r:id="rId12"/>
          <w:pgSz w:w="11906" w:h="16838"/>
          <w:pgMar w:top="1134" w:right="567" w:bottom="1134" w:left="1701" w:header="709" w:footer="709" w:gutter="0"/>
          <w:pgNumType w:start="1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этап (внутренние работы, включая инженерные сети)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411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</w:p>
    <w:p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</w:p>
    <w:p>
      <w:pPr>
        <w:pStyle w:val="a9"/>
        <w:ind w:left="0"/>
        <w:jc w:val="center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 в размере _______ руб.</w:t>
      </w: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0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_________________________________________________________________.</w:t>
      </w:r>
    </w:p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_____ листах: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_________________________________________________________________;</w:t>
      </w:r>
    </w:p>
    <w:p>
      <w:pPr>
        <w:pStyle w:val="a9"/>
        <w:numPr>
          <w:numId w:val="11"/>
          <w:ilvl w:val="0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_________________________________________________________________.</w:t>
      </w:r>
    </w:p>
    <w:p>
      <w:pPr>
        <w:ind w:firstLine="709"/>
        <w:jc w:val="both"/>
        <w:tabs>
          <w:tab w:val="left" w:pos="4253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пункте 4 </w:t>
      </w:r>
      <w:r>
        <w:rPr>
          <w:rFonts w:ascii="PT Astra Serif" w:hAnsi="PT Astra Serif" w:eastAsiaTheme="minorHAnsi"/>
          <w:sz w:val="20"/>
          <w:szCs w:val="20"/>
        </w:rPr>
        <w:t xml:space="preserve">Порядка</w:t>
      </w:r>
      <w:r>
        <w:rPr>
          <w:rFonts w:ascii="PT Astra Serif" w:hAnsi="PT Astra Serif" w:eastAsiaTheme="minorHAnsi"/>
          <w:sz w:val="20"/>
          <w:szCs w:val="20"/>
        </w:rPr>
        <w:t xml:space="preserve"> определения объема и </w:t>
      </w:r>
      <w:r>
        <w:rPr>
          <w:rFonts w:ascii="PT Astra Serif" w:hAnsi="PT Astra Serif" w:eastAsiaTheme="minorHAnsi"/>
          <w:sz w:val="20"/>
          <w:szCs w:val="20"/>
        </w:rPr>
        <w:t xml:space="preserve">условия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на 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0"/>
          <w:szCs w:val="20"/>
          <w:lang w:val="en-US"/>
        </w:rPr>
        <w:t xml:space="preserve">XX</w:t>
      </w:r>
      <w:r>
        <w:rPr>
          <w:rFonts w:ascii="PT Astra Serif" w:hAnsi="PT Astra Serif" w:eastAsiaTheme="minorHAnsi"/>
          <w:sz w:val="20"/>
          <w:szCs w:val="20"/>
        </w:rPr>
        <w:t xml:space="preserve"> в.», по адресу: г. Томск, </w:t>
      </w:r>
      <w:r>
        <w:rPr>
          <w:rFonts w:ascii="PT Astra Serif" w:hAnsi="PT Astra Serif" w:eastAsiaTheme="minorHAnsi"/>
          <w:sz w:val="20"/>
          <w:szCs w:val="20"/>
        </w:rPr>
        <w:t xml:space="preserve">пр</w:t>
      </w:r>
      <w:r>
        <w:rPr>
          <w:rFonts w:ascii="PT Astra Serif" w:hAnsi="PT Astra Serif" w:eastAsiaTheme="minorHAnsi"/>
          <w:sz w:val="20"/>
          <w:szCs w:val="20"/>
        </w:rPr>
        <w:t xml:space="preserve">.Ленина</w:t>
      </w:r>
      <w:r>
        <w:rPr>
          <w:rFonts w:ascii="PT Astra Serif" w:hAnsi="PT Astra Serif" w:eastAsiaTheme="minorHAnsi"/>
          <w:sz w:val="20"/>
          <w:szCs w:val="20"/>
        </w:rPr>
        <w:t xml:space="preserve">, 111. </w:t>
      </w:r>
      <w:r>
        <w:rPr>
          <w:rFonts w:ascii="PT Astra Serif" w:hAnsi="PT Astra Serif" w:eastAsiaTheme="minorHAnsi"/>
          <w:sz w:val="20"/>
          <w:szCs w:val="20"/>
          <w:lang w:val="en-US"/>
        </w:rPr>
        <w:t xml:space="preserve">II</w:t>
      </w:r>
      <w:r>
        <w:rPr>
          <w:rFonts w:ascii="PT Astra Serif" w:hAnsi="PT Astra Serif" w:eastAsiaTheme="minorHAnsi"/>
          <w:sz w:val="20"/>
          <w:szCs w:val="20"/>
        </w:rPr>
        <w:t xml:space="preserve"> этап (внутренние работы, включая инженерные сети)</w:t>
      </w:r>
      <w:r>
        <w:rPr>
          <w:rFonts w:ascii="PT Astra Serif" w:hAnsi="PT Astra Serif" w:eastAsiaTheme="minorHAnsi"/>
          <w:sz w:val="20"/>
          <w:szCs w:val="20"/>
        </w:rPr>
        <w:t xml:space="preserve">.</w:t>
      </w:r>
    </w:p>
    <w:p>
      <w:pPr>
        <w:ind w:firstLine="709"/>
        <w:jc w:val="both"/>
        <w:tabs>
          <w:tab w:val="left" w:pos="4253"/>
        </w:tabs>
        <w:rPr>
          <w:rFonts w:ascii="PT Astra Serif" w:hAnsi="PT Astra Serif"/>
          <w:sz w:val="26"/>
          <w:szCs w:val="26"/>
        </w:rPr>
      </w:pP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Начальник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                                                    ____</w:t>
      </w:r>
      <w:r>
        <w:rPr>
          <w:rFonts w:ascii="PT Astra Serif" w:hAnsi="PT Astra Serif" w:eastAsiaTheme="minorHAnsi"/>
          <w:sz w:val="26"/>
          <w:szCs w:val="26"/>
        </w:rPr>
        <w:t xml:space="preserve">___</w:t>
      </w:r>
      <w:r>
        <w:rPr>
          <w:rFonts w:ascii="PT Astra Serif" w:hAnsi="PT Astra Serif" w:eastAsiaTheme="minorHAnsi"/>
          <w:sz w:val="26"/>
          <w:szCs w:val="26"/>
        </w:rPr>
        <w:t xml:space="preserve">_________</w:t>
      </w:r>
      <w:r>
        <w:rPr>
          <w:rFonts w:ascii="PT Astra Serif" w:hAnsi="PT Astra Serif" w:eastAsiaTheme="minorHAnsi"/>
          <w:sz w:val="26"/>
          <w:szCs w:val="26"/>
        </w:rPr>
        <w:t xml:space="preserve">________</w:t>
      </w:r>
      <w:r>
        <w:rPr>
          <w:rFonts w:ascii="PT Astra Serif" w:hAnsi="PT Astra Serif" w:eastAsiaTheme="minorHAnsi"/>
          <w:sz w:val="26"/>
          <w:szCs w:val="26"/>
        </w:rPr>
        <w:t xml:space="preserve">_________      </w:t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          </w:t>
      </w:r>
      <w:r>
        <w:rPr>
          <w:rFonts w:ascii="PT Astra Serif" w:hAnsi="PT Astra Serif" w:eastAsiaTheme="minorHAnsi"/>
          <w:sz w:val="20"/>
          <w:szCs w:val="20"/>
        </w:rPr>
        <w:t xml:space="preserve">(фамил</w:t>
      </w:r>
      <w:r>
        <w:rPr>
          <w:rFonts w:ascii="PT Astra Serif" w:hAnsi="PT Astra Serif" w:eastAsiaTheme="minorHAnsi"/>
          <w:sz w:val="20"/>
          <w:szCs w:val="20"/>
        </w:rPr>
        <w:t xml:space="preserve">и</w:t>
      </w:r>
      <w:r>
        <w:rPr>
          <w:rFonts w:ascii="PT Astra Serif" w:hAnsi="PT Astra Serif" w:eastAsiaTheme="minorHAnsi"/>
          <w:sz w:val="20"/>
          <w:szCs w:val="20"/>
        </w:rPr>
        <w:t xml:space="preserve">я</w:t>
      </w:r>
      <w:r>
        <w:rPr>
          <w:rFonts w:ascii="PT Astra Serif" w:hAnsi="PT Astra Serif" w:eastAsiaTheme="minorHAnsi"/>
          <w:sz w:val="20"/>
          <w:szCs w:val="20"/>
        </w:rPr>
        <w:t xml:space="preserve">, имя, отчество, последнее – при наличии</w:t>
      </w:r>
      <w:r>
        <w:rPr>
          <w:rFonts w:ascii="PT Astra Serif" w:hAnsi="PT Astra Serif" w:eastAsiaTheme="minorHAnsi"/>
          <w:sz w:val="20"/>
          <w:szCs w:val="20"/>
        </w:rPr>
        <w:t xml:space="preserve">)</w:t>
      </w:r>
    </w:p>
    <w:p>
      <w:pPr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</w:t>
      </w:r>
      <w:r>
        <w:rPr>
          <w:rFonts w:ascii="PT Astra Serif" w:hAnsi="PT Astra Serif" w:eastAsiaTheme="minorHAnsi"/>
          <w:sz w:val="20"/>
          <w:szCs w:val="20"/>
        </w:rPr>
        <w:t xml:space="preserve">М.П.</w:t>
      </w:r>
    </w:p>
    <w:p>
      <w:pPr>
        <w:pStyle w:val="a9"/>
        <w:ind w:left="0" w:firstLine="709"/>
        <w:jc w:val="both"/>
        <w:tabs>
          <w:tab w:val="left" w:pos="4253"/>
        </w:tabs>
        <w:rPr>
          <w:rFonts w:ascii="PT Astra Serif" w:hAnsi="PT Astra Serif"/>
        </w:rPr>
      </w:pPr>
    </w:p>
    <w:p>
      <w:pPr>
        <w:pStyle w:val="a9"/>
        <w:ind w:left="0" w:firstLine="709"/>
        <w:jc w:val="both"/>
        <w:tabs>
          <w:tab w:val="left" w:pos="4962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</w:p>
    <w:p>
      <w:pPr>
        <w:jc w:val="both"/>
        <w:rPr>
          <w:rFonts w:ascii="PT Astra Serif" w:hAnsi="PT Astra Serif"/>
        </w:rPr>
        <w:sectPr>
          <w:headerReference w:type="first" r:id="rId13"/>
          <w:pgSz w:w="11906" w:h="16838"/>
          <w:pgMar w:top="567" w:right="567" w:bottom="993" w:left="1134" w:header="709" w:footer="709" w:gutter="0"/>
          <w:pgNumType w:start="8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этап (внутренние работы, включая инженерные сети)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</w:p>
    <w:p>
      <w:pPr>
        <w:pStyle w:val="ConsPlusNormal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субсидии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на выполнение работ по сохранению объектов культурного наследия, расположенных на территории Томской области</w:t>
      </w:r>
    </w:p>
    <w:p>
      <w:pPr>
        <w:pStyle w:val="ConsPlusNormal"/>
        <w:contextualSpacing w:val="true"/>
        <w:ind w:firstLine="540"/>
        <w:jc w:val="center"/>
        <w:rPr>
          <w:rFonts w:ascii="PT Astra Serif" w:hAnsi="PT Astra Serif" w:cs="Times New Roman"/>
          <w:sz w:val="26"/>
          <w:szCs w:val="26"/>
        </w:rPr>
      </w:pP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ние культуры «Центр по охране и </w:t>
      </w:r>
      <w:r>
        <w:rPr>
          <w:rFonts w:ascii="PT Astra Serif" w:hAnsi="PT Astra Serif" w:eastAsiaTheme="minorHAnsi"/>
          <w:bCs/>
          <w:sz w:val="26"/>
          <w:szCs w:val="26"/>
        </w:rPr>
        <w:t xml:space="preserve">использованию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памятников истории и культуры»</w:t>
      </w:r>
      <w:r>
        <w:rPr>
          <w:rFonts w:ascii="PT Astra Serif" w:hAnsi="PT Astra Serif" w:eastAsiaTheme="minorHAnsi"/>
          <w:bCs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</w:t>
      </w:r>
      <w:r>
        <w:rPr>
          <w:rFonts w:ascii="PT Astra Serif" w:hAnsi="PT Astra Serif" w:eastAsiaTheme="minorHAnsi"/>
          <w:sz w:val="26"/>
          <w:szCs w:val="26"/>
        </w:rPr>
        <w:t xml:space="preserve">ть субсидию, предоставляемую из </w:t>
      </w:r>
      <w:r>
        <w:rPr>
          <w:rFonts w:ascii="PT Astra Serif" w:hAnsi="PT Astra Serif" w:eastAsiaTheme="minorHAnsi"/>
          <w:sz w:val="26"/>
          <w:szCs w:val="26"/>
        </w:rPr>
        <w:t xml:space="preserve">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</w:p>
    <w:p>
      <w:pPr>
        <w:pStyle w:val="ConsPlusNormal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06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5588"/>
        <w:gridCol w:w="1417"/>
        <w:gridCol w:w="2775"/>
      </w:tblGrid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расходов мероприятия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(руб.)</w:t>
            </w:r>
          </w:p>
        </w:tc>
      </w:tr>
      <w:tr>
        <w:trPr>
          <w:trHeight w:val="2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88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</w:t>
      </w:r>
      <w:r>
        <w:rPr>
          <w:rFonts w:ascii="PT Astra Serif" w:hAnsi="PT Astra Serif" w:eastAsiaTheme="minorHAnsi"/>
          <w:sz w:val="26"/>
          <w:szCs w:val="26"/>
        </w:rPr>
        <w:t xml:space="preserve">лненных работ в __</w:t>
      </w:r>
      <w:r>
        <w:rPr>
          <w:rFonts w:ascii="PT Astra Serif" w:hAnsi="PT Astra Serif" w:eastAsiaTheme="minorHAnsi"/>
          <w:sz w:val="26"/>
          <w:szCs w:val="26"/>
        </w:rPr>
        <w:t xml:space="preserve">экз. на _</w:t>
      </w:r>
      <w:r>
        <w:rPr>
          <w:rFonts w:ascii="PT Astra Serif" w:hAnsi="PT Astra Serif" w:eastAsiaTheme="minorHAnsi"/>
          <w:sz w:val="26"/>
          <w:szCs w:val="26"/>
        </w:rPr>
        <w:t xml:space="preserve">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</w:p>
    <w:p>
      <w:pPr>
        <w:contextualSpacing w:val="true"/>
        <w:jc w:val="both"/>
        <w:rPr>
          <w:rFonts w:ascii="PT Astra Serif" w:hAnsi="PT Astra Serif"/>
          <w:sz w:val="20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4838"/>
      </w:tblGrid>
      <w:tr>
        <w:tc>
          <w:tcPr>
            <w:shd w:val="clear" w:fill="auto" w:color="auto"/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</w:tc>
        <w:tc>
          <w:tcPr>
            <w:shd w:val="clear" w:fill="auto" w:color="auto"/>
            <w:tcW w:w="4838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/_________________/</w:t>
            </w:r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 </w:t>
            </w:r>
          </w:p>
          <w:p>
            <w:pPr>
              <w:contextualSpacing w:val="true"/>
              <w:jc w:val="righ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последнее – при наличии)</w:t>
            </w:r>
          </w:p>
        </w:tc>
      </w:tr>
    </w:tbl>
    <w:p>
      <w:pPr>
        <w:jc w:val="both"/>
        <w:tabs>
          <w:tab w:val="left" w:pos="4253"/>
        </w:tabs>
        <w:rPr>
          <w:rFonts w:ascii="PT Astra Serif" w:hAnsi="PT Astra Serif"/>
        </w:r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  <w:sectPr>
          <w:pgSz w:w="11906" w:h="16838"/>
          <w:pgMar w:top="567" w:right="567" w:bottom="993" w:left="1134" w:header="709" w:footer="709" w:gutter="0"/>
          <w:pgNumType w:start="9"/>
          <w:cols w:space="708"/>
          <w:docGrid w:linePitch="360"/>
          <w:titlePg/>
        </w:sectPr>
      </w:pPr>
    </w:p>
    <w:p>
      <w:pPr>
        <w:ind w:left="9072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3</w:t>
      </w:r>
    </w:p>
    <w:p>
      <w:pPr>
        <w:contextualSpacing w:val="true"/>
        <w:ind w:left="9072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ab/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</w:p>
    <w:p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изведенных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этап (внутренние работы, включая инженерные сети)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c>
          <w:tcPr>
            <w:tcW w:w="4315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tcBorders>
              <w:bottom w:val="single" w:sz="4" w:space="0" w:color="auto"/>
            </w:tcBorders>
            <w:tcW w:w="10348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</w:p>
        </w:tc>
      </w:tr>
      <w:tr>
        <w:tc>
          <w:tcPr>
            <w:tcW w:w="4315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14663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tbl>
            <w:tblPr>
              <w:tblStyle w:val="af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29"/>
              <w:gridCol w:w="567"/>
              <w:gridCol w:w="851"/>
              <w:gridCol w:w="1843"/>
              <w:gridCol w:w="850"/>
              <w:gridCol w:w="1418"/>
              <w:gridCol w:w="1701"/>
              <w:gridCol w:w="850"/>
              <w:gridCol w:w="1559"/>
              <w:gridCol w:w="851"/>
              <w:gridCol w:w="1694"/>
              <w:gridCol w:w="1211"/>
            </w:tblGrid>
            <w:tr>
              <w:tc>
                <w:tcPr>
                  <w:gridSpan w:val="2"/>
                  <w:tcW w:w="1696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Субсидия</w:t>
                  </w:r>
                </w:p>
              </w:tc>
              <w:tc>
                <w:tcPr>
                  <w:gridSpan w:val="2"/>
                  <w:tcW w:w="2694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Остаток субсидии на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 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начало текущего финансового года</w:t>
                  </w:r>
                </w:p>
              </w:tc>
              <w:tc>
                <w:tcPr>
                  <w:gridSpan w:val="3"/>
                  <w:tcW w:w="3969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Поступления</w:t>
                  </w:r>
                </w:p>
              </w:tc>
              <w:tc>
                <w:tcPr>
                  <w:gridSpan w:val="2"/>
                  <w:tcW w:w="2409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Выплаты</w:t>
                  </w:r>
                </w:p>
              </w:tc>
              <w:tc>
                <w:tcPr>
                  <w:gridSpan w:val="3"/>
                  <w:tcW w:w="3756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Остаток субсидии на конец отчетного периода</w:t>
                  </w:r>
                </w:p>
              </w:tc>
            </w:tr>
            <w:tr>
              <w:trPr>
                <w:trHeight w:val="125"/>
              </w:trPr>
              <w:tc>
                <w:tcPr>
                  <w:tcW w:w="1129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н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аиме-нование</w:t>
                  </w:r>
                </w:p>
              </w:tc>
              <w:tc>
                <w:tcPr>
                  <w:tcW w:w="567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код</w:t>
                  </w:r>
                </w:p>
              </w:tc>
              <w:tc>
                <w:tcPr>
                  <w:tcW w:w="851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всего</w:t>
                  </w:r>
                </w:p>
              </w:tc>
              <w:tc>
                <w:tcPr>
                  <w:tcW w:w="1843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из них, 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разрешенный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 к использованию</w:t>
                  </w:r>
                </w:p>
              </w:tc>
              <w:tc>
                <w:tcPr>
                  <w:tcW w:w="850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всего</w:t>
                  </w:r>
                </w:p>
              </w:tc>
              <w:tc>
                <w:tcPr>
                  <w:gridSpan w:val="2"/>
                  <w:tcW w:w="3119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 том числе:</w:t>
                  </w:r>
                </w:p>
              </w:tc>
              <w:tc>
                <w:tcPr>
                  <w:tcW w:w="850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всего</w:t>
                  </w:r>
                </w:p>
              </w:tc>
              <w:tc>
                <w:tcPr>
                  <w:tcW w:w="1559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из них: возвращено в областной бюджет</w:t>
                  </w:r>
                </w:p>
              </w:tc>
              <w:tc>
                <w:tcPr>
                  <w:tcW w:w="851" w:type="dxa"/>
                  <w:vMerge w:val="restart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всего</w:t>
                  </w:r>
                </w:p>
              </w:tc>
              <w:tc>
                <w:tcPr>
                  <w:gridSpan w:val="2"/>
                  <w:tcW w:w="2905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 том числе:</w:t>
                  </w:r>
                </w:p>
              </w:tc>
            </w:tr>
            <w:tr>
              <w:trPr>
                <w:trHeight w:val="125"/>
              </w:trPr>
              <w:tc>
                <w:tcPr>
                  <w:tcW w:w="1129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843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0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из областного бюджета</w:t>
                  </w:r>
                </w:p>
              </w:tc>
              <w:tc>
                <w:tcPr>
                  <w:tcW w:w="170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возврат дебиторской задолженности прошлых лет</w:t>
                  </w:r>
                </w:p>
              </w:tc>
              <w:tc>
                <w:tcPr>
                  <w:tcW w:w="850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559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  <w:vMerge w:val="continue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694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требуется в 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направлении</w:t>
                  </w: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 на те же цели</w:t>
                  </w:r>
                </w:p>
              </w:tc>
              <w:tc>
                <w:tcPr>
                  <w:tcW w:w="121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подлежит возврату</w:t>
                  </w:r>
                </w:p>
              </w:tc>
            </w:tr>
            <w:tr>
              <w:tc>
                <w:tcPr>
                  <w:tcW w:w="1129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567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85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1843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850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1418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170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850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1559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85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1694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1211" w:type="dxa"/>
                </w:tcPr>
                <w:p>
                  <w:pPr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>
                    <w:rPr>
                      <w:rFonts w:ascii="PT Astra Serif" w:hAnsi="PT Astra Serif"/>
                      <w:sz w:val="22"/>
                      <w:szCs w:val="22"/>
                    </w:rPr>
                    <w:t xml:space="preserve">12</w:t>
                  </w:r>
                </w:p>
              </w:tc>
            </w:tr>
            <w:tr>
              <w:tc>
                <w:tcPr>
                  <w:tcW w:w="1129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843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0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0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559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694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21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  <w:tr>
              <w:tc>
                <w:tcPr>
                  <w:tcW w:w="1129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567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843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0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418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0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559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85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694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  <w:tc>
                <w:tcPr>
                  <w:tcW w:w="1211" w:type="dxa"/>
                </w:tcPr>
                <w:p>
                  <w:pPr>
                    <w:jc w:val="both"/>
                    <w:rPr>
                      <w:rFonts w:ascii="PT Astra Serif" w:hAnsi="PT Astra Serif"/>
                      <w:sz w:val="26"/>
                      <w:szCs w:val="26"/>
                    </w:rPr>
                  </w:pPr>
                </w:p>
              </w:tc>
            </w:tr>
          </w:tbl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c>
          <w:tcPr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ind w:left="4536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spacing w:lineRule="auto" w:line="233"/>
        <w:widowControl w:val="off"/>
        <w:tabs>
          <w:tab w:val="left" w:pos="1977"/>
          <w:tab w:val="center" w:pos="4677"/>
        </w:tabs>
        <w:rPr>
          <w:rFonts w:ascii="PT Astra Serif" w:hAnsi="PT Astra Serif"/>
        </w:rPr>
        <w:sectPr>
          <w:pgSz w:w="16838" w:h="11906" w:orient="landscape"/>
          <w:pgMar w:top="1701" w:right="1134" w:bottom="567" w:left="1134" w:header="709" w:footer="709" w:gutter="0"/>
          <w:pgNumType w:start="10"/>
          <w:cols w:space="708"/>
          <w:docGrid w:linePitch="360"/>
          <w:titlePg/>
        </w:sectPr>
      </w:pPr>
    </w:p>
    <w:p>
      <w:pPr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</w:t>
      </w:r>
      <w:r>
        <w:rPr>
          <w:rFonts w:ascii="PT Astra Serif" w:hAnsi="PT Astra Serif" w:eastAsiaTheme="minorHAnsi"/>
          <w:sz w:val="26"/>
          <w:szCs w:val="26"/>
        </w:rPr>
        <w:t xml:space="preserve">я</w:t>
      </w:r>
      <w:r>
        <w:rPr>
          <w:rFonts w:ascii="PT Astra Serif" w:hAnsi="PT Astra Serif" w:eastAsiaTheme="minorHAnsi"/>
          <w:sz w:val="26"/>
          <w:szCs w:val="26"/>
        </w:rPr>
        <w:t xml:space="preserve">м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областному государственному автономному учреждению культуры «Центр по охране и использованию памятников истории и 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 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этап (внутренние работы, включая инженерные сети)</w:t>
      </w:r>
    </w:p>
    <w:p>
      <w:pPr>
        <w:contextualSpacing w:val="true"/>
        <w:ind w:left="4111"/>
        <w:jc w:val="both"/>
        <w:tabs>
          <w:tab w:val="left" w:pos="4820"/>
        </w:tabs>
        <w:rPr>
          <w:rFonts w:ascii="PT Astra Serif" w:hAnsi="PT Astra Serif"/>
          <w:sz w:val="26"/>
          <w:szCs w:val="26"/>
        </w:rPr>
      </w:pPr>
    </w:p>
    <w:p>
      <w:pPr>
        <w:pStyle w:val="a9"/>
        <w:ind w:left="0"/>
        <w:tabs>
          <w:tab w:val="left" w:pos="4395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</w:p>
    <w:p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</w:p>
    <w:p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</w:t>
      </w:r>
      <w:r>
        <w:rPr>
          <w:rFonts w:ascii="PT Astra Serif" w:hAnsi="PT Astra Serif" w:eastAsiaTheme="minorHAnsi"/>
          <w:sz w:val="26"/>
          <w:szCs w:val="26"/>
        </w:rPr>
        <w:t xml:space="preserve"> выполнение работ по </w:t>
      </w:r>
      <w:r>
        <w:rPr>
          <w:rFonts w:ascii="PT Astra Serif" w:hAnsi="PT Astra Serif" w:eastAsiaTheme="minorHAnsi"/>
          <w:sz w:val="26"/>
          <w:szCs w:val="26"/>
        </w:rPr>
        <w:t xml:space="preserve">сохранению (внутренние работы, инженерные сети) объекта культурного наследия регионального значения «Пассаж Второва, нач.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XX</w:t>
      </w:r>
      <w:r>
        <w:rPr>
          <w:rFonts w:ascii="PT Astra Serif" w:hAnsi="PT Astra Serif" w:eastAsiaTheme="minorHAnsi"/>
          <w:sz w:val="26"/>
          <w:szCs w:val="26"/>
        </w:rPr>
        <w:t xml:space="preserve"> в.», по </w:t>
      </w:r>
      <w:r>
        <w:rPr>
          <w:rFonts w:ascii="PT Astra Serif" w:hAnsi="PT Astra Serif" w:eastAsiaTheme="minorHAnsi"/>
          <w:sz w:val="26"/>
          <w:szCs w:val="26"/>
        </w:rPr>
        <w:t xml:space="preserve">адресу: г. Томск,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</w:t>
      </w:r>
      <w:r>
        <w:rPr>
          <w:rFonts w:ascii="PT Astra Serif" w:hAnsi="PT Astra Serif" w:eastAsiaTheme="minorHAnsi"/>
          <w:sz w:val="26"/>
          <w:szCs w:val="26"/>
        </w:rPr>
        <w:t xml:space="preserve">.Л</w:t>
      </w:r>
      <w:r>
        <w:rPr>
          <w:rFonts w:ascii="PT Astra Serif" w:hAnsi="PT Astra Serif" w:eastAsiaTheme="minorHAnsi"/>
          <w:sz w:val="26"/>
          <w:szCs w:val="26"/>
        </w:rPr>
        <w:t xml:space="preserve">енина</w:t>
      </w:r>
      <w:r>
        <w:rPr>
          <w:rFonts w:ascii="PT Astra Serif" w:hAnsi="PT Astra Serif" w:eastAsiaTheme="minorHAnsi"/>
          <w:sz w:val="26"/>
          <w:szCs w:val="26"/>
        </w:rPr>
        <w:t xml:space="preserve">, 111. 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II</w:t>
      </w:r>
      <w:r>
        <w:rPr>
          <w:rFonts w:ascii="PT Astra Serif" w:hAnsi="PT Astra Serif" w:eastAsiaTheme="minorHAnsi"/>
          <w:sz w:val="26"/>
          <w:szCs w:val="26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этап (внутренние работы, включая инженерные сети)</w:t>
      </w:r>
      <w:r>
        <w:rPr>
          <w:rFonts w:ascii="PT Astra Serif" w:hAnsi="PT Astra Serif" w:eastAsiaTheme="minorHAnsi"/>
          <w:sz w:val="26"/>
          <w:szCs w:val="26"/>
        </w:rPr>
        <w:t xml:space="preserve"> на </w:t>
      </w:r>
      <w:r>
        <w:rPr>
          <w:rFonts w:ascii="PT Astra Serif" w:hAnsi="PT Astra Serif" w:eastAsiaTheme="minorHAnsi"/>
          <w:sz w:val="26"/>
          <w:szCs w:val="26"/>
        </w:rPr>
        <w:t xml:space="preserve">___________20__г.</w:t>
      </w:r>
    </w:p>
    <w:tbl>
      <w:tblPr>
        <w:tblW w:w="9748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>
        <w:trPr>
          <w:gridAfter w:val="1"/>
          <w:gridBefore w:val="1"/>
        </w:trPr>
        <w:tc>
          <w:tcPr>
            <w:gridSpan w:val="2"/>
            <w:tcW w:w="445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gridSpan w:val="4"/>
            <w:tcBorders>
              <w:bottom w:val="single" w:sz="4" w:space="0" w:color="auto"/>
            </w:tcBorders>
            <w:tcW w:w="5210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</w:p>
        </w:tc>
      </w:tr>
      <w:tr>
        <w:trPr>
          <w:gridAfter w:val="1"/>
          <w:gridBefore w:val="1"/>
        </w:trPr>
        <w:tc>
          <w:tcPr>
            <w:gridSpan w:val="2"/>
            <w:tcW w:w="445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олучателя субсидии</w:t>
            </w:r>
          </w:p>
        </w:tc>
        <w:tc>
          <w:tcPr>
            <w:gridSpan w:val="4"/>
            <w:tcBorders>
              <w:top w:val="single" w:sz="4" w:space="0" w:color="auto"/>
              <w:bottom w:val="single" w:sz="4" w:space="0" w:color="auto"/>
            </w:tcBorders>
            <w:tcW w:w="5210" w:type="dxa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rPr>
          <w:gridAfter w:val="1"/>
          <w:gridBefore w:val="1"/>
        </w:trPr>
        <w:tc>
          <w:tcPr>
            <w:gridSpan w:val="6"/>
            <w:tcW w:w="9667" w:type="dxa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</w:p>
        </w:tc>
      </w:tr>
      <w:tr>
        <w:tc>
          <w:tcPr>
            <w:gridSpan w:val="2"/>
            <w:tcW w:w="648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/п</w:t>
            </w:r>
          </w:p>
        </w:tc>
        <w:tc>
          <w:tcPr>
            <w:gridSpan w:val="2"/>
            <w:tcW w:w="4847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показателей</w:t>
            </w:r>
          </w:p>
        </w:tc>
        <w:tc>
          <w:tcPr>
            <w:tcW w:w="1559" w:type="dxa"/>
            <w:vMerge w:val="restart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</w:p>
        </w:tc>
        <w:tc>
          <w:tcPr>
            <w:gridSpan w:val="3"/>
            <w:tcW w:w="2694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Значения показателя</w:t>
            </w:r>
          </w:p>
        </w:tc>
      </w:tr>
      <w:tr>
        <w:tc>
          <w:tcPr>
            <w:gridSpan w:val="2"/>
            <w:tcW w:w="648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4847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 w:val="continu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план</w:t>
            </w: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факт</w:t>
            </w: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Затраты для расчета объема субсидии на иные цели (с расшифровкой по видам)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субсидии, предоставленной из областного бюджета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c>
          <w:tcPr>
            <w:gridSpan w:val="2"/>
            <w:tcW w:w="64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</w:t>
            </w:r>
          </w:p>
        </w:tc>
        <w:tc>
          <w:tcPr>
            <w:gridSpan w:val="2"/>
            <w:tcW w:w="4847" w:type="dxa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Остаток неиспользованной субсидии на конец отчетного периода</w:t>
            </w:r>
          </w:p>
        </w:tc>
        <w:tc>
          <w:tcPr>
            <w:tcW w:w="1559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gridSpan w:val="2"/>
            <w:tcW w:w="1276" w:type="dxa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целевое использование субсидии:</w:t>
      </w:r>
    </w:p>
    <w:tbl>
      <w:tblPr>
        <w:tblStyle w:val="af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c>
          <w:tcPr>
            <w:tcW w:w="5211" w:type="dxa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получателя субсидии</w:t>
            </w:r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МП</w:t>
            </w:r>
          </w:p>
        </w:tc>
      </w:tr>
    </w:tbl>
    <w:p>
      <w:pPr>
        <w:jc w:val="center"/>
        <w:rPr>
          <w:rFonts w:ascii="PT Astra Serif" w:hAnsi="PT Astra Serif"/>
        </w:rPr>
      </w:pPr>
    </w:p>
    <w:sectPr>
      <w:headerReference w:type="default" r:id="rId14"/>
      <w:pgSz w:w="11906" w:h="16838"/>
      <w:pgMar w:top="1134" w:right="567" w:bottom="1134" w:left="1701" w:header="709" w:footer="709" w:gutter="0"/>
      <w:pgNumType w:start="12"/>
      <w:cols w:space="708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PT Sans">
    <w:panose1 w:val="020B0503020203020204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PT Astra Serif">
    <w:panose1 w:val="020A0603040505020204"/>
  </w:font>
  <w:font w:name="Arial">
    <w:panose1 w:val="020B06040202020202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-1504966742"/>
      <w:rPr>
        <w:rFonts w:ascii="PT Astra Serif" w:hAnsi="PT Astra Serif"/>
        <w:sz w:val="26"/>
        <w:szCs w:val="26"/>
      </w:rPr>
    </w:sdtPr>
    <w:sdtContent>
      <w:p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 noChangeArrowheads="1"/>
                      </pic:cNvPicPr>
                      <pic:nvPr/>
                    </pic:nvPicPr>
                    <pic:blipFill>
                      <a:blip r:embed="rId1"/>
                      <a:srcRect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tabs>
        <w:tab w:val="center" w:pos="5102"/>
        <w:tab w:val="left" w:pos="5947"/>
      </w:tabs>
    </w:pPr>
    <w:r>
      <w:tab/>
    </w:r>
    <w:r>
      <w:tab/>
    </w:r>
    <w:r>
      <w:tab/>
    </w:r>
  </w:p>
  <w:p>
    <w:pPr>
      <w:pStyle w:val="a3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614250773"/>
    </w:sdtPr>
    <w:sdtContent>
      <w:p>
        <w:pPr>
          <w:pStyle w:val="a3"/>
          <w:jc w:val="center"/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9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>
    <w:pPr>
      <w:pStyle w:val="a3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12</w:t>
    </w:r>
    <w:r>
      <w:fldChar w:fldCharType="end"/>
    </w:r>
  </w:p>
  <w:p>
    <w:pPr>
      <w:pStyle w:val="a3"/>
      <w:jc w:val="center"/>
      <w:rPr>
        <w:rFonts w:ascii="PT Astra Serif" w:hAnsi="PT Astra Serif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9" w:hanging="360"/>
      </w:pPr>
    </w:lvl>
    <w:lvl w:ilvl="2" w:tentative="1" w:tplc="0419001B">
      <w:start w:val="1"/>
      <w:numFmt w:val="lowerRoman"/>
      <w:lvlText w:val="%3."/>
      <w:lvlJc w:val="right"/>
      <w:pPr>
        <w:ind w:left="2509" w:hanging="180"/>
      </w:pPr>
    </w:lvl>
    <w:lvl w:ilvl="3" w:tentative="1" w:tplc="0419000F">
      <w:start w:val="1"/>
      <w:numFmt w:val="decimal"/>
      <w:lvlText w:val="%4."/>
      <w:lvlJc w:val="left"/>
      <w:pPr>
        <w:ind w:left="3229" w:hanging="360"/>
      </w:pPr>
    </w:lvl>
    <w:lvl w:ilvl="4" w:tentative="1" w:tplc="04190019">
      <w:start w:val="1"/>
      <w:numFmt w:val="lowerLetter"/>
      <w:lvlText w:val="%5."/>
      <w:lvlJc w:val="left"/>
      <w:pPr>
        <w:ind w:left="3949" w:hanging="360"/>
      </w:pPr>
    </w:lvl>
    <w:lvl w:ilvl="5" w:tentative="1" w:tplc="0419001B">
      <w:start w:val="1"/>
      <w:numFmt w:val="lowerRoman"/>
      <w:lvlText w:val="%6."/>
      <w:lvlJc w:val="right"/>
      <w:pPr>
        <w:ind w:left="4669" w:hanging="180"/>
      </w:pPr>
    </w:lvl>
    <w:lvl w:ilvl="6" w:tentative="1" w:tplc="0419000F">
      <w:start w:val="1"/>
      <w:numFmt w:val="decimal"/>
      <w:lvlText w:val="%7."/>
      <w:lvlJc w:val="left"/>
      <w:pPr>
        <w:ind w:left="5389" w:hanging="360"/>
      </w:pPr>
    </w:lvl>
    <w:lvl w:ilvl="7" w:tentative="1" w:tplc="04190019">
      <w:start w:val="1"/>
      <w:numFmt w:val="lowerLetter"/>
      <w:lvlText w:val="%8."/>
      <w:lvlJc w:val="left"/>
      <w:pPr>
        <w:ind w:left="6109" w:hanging="360"/>
      </w:pPr>
    </w:lvl>
    <w:lvl w:ilvl="8" w:tentative="1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multiLevelType w:val="hybridMultilevel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800" w:hanging="360"/>
      </w:pPr>
    </w:lvl>
    <w:lvl w:ilvl="2" w:tentative="1" w:tplc="0419001B">
      <w:start w:val="1"/>
      <w:numFmt w:val="lowerRoman"/>
      <w:lvlText w:val="%3."/>
      <w:lvlJc w:val="right"/>
      <w:pPr>
        <w:ind w:left="2520" w:hanging="180"/>
      </w:pPr>
    </w:lvl>
    <w:lvl w:ilvl="3" w:tentative="1" w:tplc="0419000F">
      <w:start w:val="1"/>
      <w:numFmt w:val="decimal"/>
      <w:lvlText w:val="%4."/>
      <w:lvlJc w:val="left"/>
      <w:pPr>
        <w:ind w:left="3240" w:hanging="360"/>
      </w:pPr>
    </w:lvl>
    <w:lvl w:ilvl="4" w:tentative="1" w:tplc="04190019">
      <w:start w:val="1"/>
      <w:numFmt w:val="lowerLetter"/>
      <w:lvlText w:val="%5."/>
      <w:lvlJc w:val="left"/>
      <w:pPr>
        <w:ind w:left="3960" w:hanging="360"/>
      </w:pPr>
    </w:lvl>
    <w:lvl w:ilvl="5" w:tentative="1" w:tplc="0419001B">
      <w:start w:val="1"/>
      <w:numFmt w:val="lowerRoman"/>
      <w:lvlText w:val="%6."/>
      <w:lvlJc w:val="right"/>
      <w:pPr>
        <w:ind w:left="4680" w:hanging="180"/>
      </w:pPr>
    </w:lvl>
    <w:lvl w:ilvl="6" w:tentative="1" w:tplc="0419000F">
      <w:start w:val="1"/>
      <w:numFmt w:val="decimal"/>
      <w:lvlText w:val="%7."/>
      <w:lvlJc w:val="left"/>
      <w:pPr>
        <w:ind w:left="5400" w:hanging="360"/>
      </w:pPr>
    </w:lvl>
    <w:lvl w:ilvl="7" w:tentative="1" w:tplc="04190019">
      <w:start w:val="1"/>
      <w:numFmt w:val="lowerLetter"/>
      <w:lvlText w:val="%8."/>
      <w:lvlJc w:val="left"/>
      <w:pPr>
        <w:ind w:left="6120" w:hanging="360"/>
      </w:pPr>
    </w:lvl>
    <w:lvl w:ilvl="8" w:tentative="1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>
    <w:multiLevelType w:val="hybridMultilevel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entative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multiLevelType w:val="hybridMultilevel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9" w:hanging="360"/>
      </w:pPr>
    </w:lvl>
    <w:lvl w:ilvl="2" w:tentative="1" w:tplc="0419001B">
      <w:start w:val="1"/>
      <w:numFmt w:val="lowerRoman"/>
      <w:lvlText w:val="%3."/>
      <w:lvlJc w:val="right"/>
      <w:pPr>
        <w:ind w:left="2509" w:hanging="180"/>
      </w:pPr>
    </w:lvl>
    <w:lvl w:ilvl="3" w:tentative="1" w:tplc="0419000F">
      <w:start w:val="1"/>
      <w:numFmt w:val="decimal"/>
      <w:lvlText w:val="%4."/>
      <w:lvlJc w:val="left"/>
      <w:pPr>
        <w:ind w:left="3229" w:hanging="360"/>
      </w:pPr>
    </w:lvl>
    <w:lvl w:ilvl="4" w:tentative="1" w:tplc="04190019">
      <w:start w:val="1"/>
      <w:numFmt w:val="lowerLetter"/>
      <w:lvlText w:val="%5."/>
      <w:lvlJc w:val="left"/>
      <w:pPr>
        <w:ind w:left="3949" w:hanging="360"/>
      </w:pPr>
    </w:lvl>
    <w:lvl w:ilvl="5" w:tentative="1" w:tplc="0419001B">
      <w:start w:val="1"/>
      <w:numFmt w:val="lowerRoman"/>
      <w:lvlText w:val="%6."/>
      <w:lvlJc w:val="right"/>
      <w:pPr>
        <w:ind w:left="4669" w:hanging="180"/>
      </w:pPr>
    </w:lvl>
    <w:lvl w:ilvl="6" w:tentative="1" w:tplc="0419000F">
      <w:start w:val="1"/>
      <w:numFmt w:val="decimal"/>
      <w:lvlText w:val="%7."/>
      <w:lvlJc w:val="left"/>
      <w:pPr>
        <w:ind w:left="5389" w:hanging="360"/>
      </w:pPr>
    </w:lvl>
    <w:lvl w:ilvl="7" w:tentative="1" w:tplc="04190019">
      <w:start w:val="1"/>
      <w:numFmt w:val="lowerLetter"/>
      <w:lvlText w:val="%8."/>
      <w:lvlJc w:val="left"/>
      <w:pPr>
        <w:ind w:left="6109" w:hanging="360"/>
      </w:pPr>
    </w:lvl>
    <w:lvl w:ilvl="8" w:tentative="1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30" w:hanging="360"/>
      </w:pPr>
    </w:lvl>
    <w:lvl w:ilvl="2" w:tentative="1" w:tplc="0419001B">
      <w:start w:val="1"/>
      <w:numFmt w:val="lowerRoman"/>
      <w:lvlText w:val="%3."/>
      <w:lvlJc w:val="right"/>
      <w:pPr>
        <w:ind w:left="2150" w:hanging="180"/>
      </w:pPr>
    </w:lvl>
    <w:lvl w:ilvl="3" w:tentative="1" w:tplc="0419000F">
      <w:start w:val="1"/>
      <w:numFmt w:val="decimal"/>
      <w:lvlText w:val="%4."/>
      <w:lvlJc w:val="left"/>
      <w:pPr>
        <w:ind w:left="2870" w:hanging="360"/>
      </w:pPr>
    </w:lvl>
    <w:lvl w:ilvl="4" w:tentative="1" w:tplc="04190019">
      <w:start w:val="1"/>
      <w:numFmt w:val="lowerLetter"/>
      <w:lvlText w:val="%5."/>
      <w:lvlJc w:val="left"/>
      <w:pPr>
        <w:ind w:left="3590" w:hanging="360"/>
      </w:pPr>
    </w:lvl>
    <w:lvl w:ilvl="5" w:tentative="1" w:tplc="0419001B">
      <w:start w:val="1"/>
      <w:numFmt w:val="lowerRoman"/>
      <w:lvlText w:val="%6."/>
      <w:lvlJc w:val="right"/>
      <w:pPr>
        <w:ind w:left="4310" w:hanging="180"/>
      </w:pPr>
    </w:lvl>
    <w:lvl w:ilvl="6" w:tentative="1" w:tplc="0419000F">
      <w:start w:val="1"/>
      <w:numFmt w:val="decimal"/>
      <w:lvlText w:val="%7."/>
      <w:lvlJc w:val="left"/>
      <w:pPr>
        <w:ind w:left="5030" w:hanging="360"/>
      </w:pPr>
    </w:lvl>
    <w:lvl w:ilvl="7" w:tentative="1" w:tplc="04190019">
      <w:start w:val="1"/>
      <w:numFmt w:val="lowerLetter"/>
      <w:lvlText w:val="%8."/>
      <w:lvlJc w:val="left"/>
      <w:pPr>
        <w:ind w:left="5750" w:hanging="360"/>
      </w:pPr>
    </w:lvl>
    <w:lvl w:ilvl="8" w:tentative="1" w:tplc="0419001B">
      <w:start w:val="1"/>
      <w:numFmt w:val="lowerRoman"/>
      <w:lvlText w:val="%9."/>
      <w:lvlJc w:val="right"/>
      <w:pPr>
        <w:ind w:left="6470" w:hanging="180"/>
      </w:pPr>
    </w:lvl>
  </w:abstractNum>
  <w:abstractNum w:abstractNumId="11">
    <w:multiLevelType w:val="hybridMultilevel"/>
    <w:lvl w:ilvl="0" w:tplc="02FCCB08">
      <w:numFmt w:val="bullet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 w:tentative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multiLevelType w:val="hybridMultilevel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 w:tplc="7CA0945E">
      <w:numFmt w:val="bullet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 w:tentative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entative="1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entative="1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entative="1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entative="1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entative="1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entative="1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entative="1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2"/>
  </w:num>
  <w:num w:numId="5">
    <w:abstractNumId w:val="10"/>
  </w:num>
  <w:num w:numId="6">
    <w:abstractNumId w:val="1"/>
  </w:num>
  <w:num w:numId="7">
    <w:abstractNumId w:val="4"/>
  </w:num>
  <w:num w:numId="8">
    <w:abstractNumId w:val="6"/>
  </w:num>
  <w:num w:numId="9">
    <w:abstractNumId w:val="7"/>
  </w:num>
  <w:num w:numId="10">
    <w:abstractNumId w:val="0"/>
  </w:num>
  <w:num w:numId="11">
    <w:abstractNumId w:val="8"/>
  </w:num>
  <w:num w:numId="12">
    <w:abstractNumId w:val="13"/>
  </w:num>
  <w:num w:numId="13">
    <w:abstractNumId w:val="11"/>
  </w:num>
  <w:num w:numId="1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n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bidi="ar-SA" w:eastAsia="en-US"/>
      </w:rPr>
    </w:rPrDefault>
    <w:pPrDefault>
      <w:pPr>
        <w:spacing w:lineRule="auto" w:line="276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1">
    <w:name w:val="heading 1"/>
    <w:basedOn w:val="a"/>
    <w:next w:val="a"/>
    <w:link w:val="10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0" w:customStyle="1">
    <w:name w:val="Заголовок 1 Знак"/>
    <w:basedOn w:val="a0"/>
    <w:link w:val="1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styleId="a4" w:customStyle="1">
    <w:name w:val="Верхний колонтитул Знак"/>
    <w:basedOn w:val="a0"/>
    <w:link w:val="a3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styleId="a6" w:customStyle="1">
    <w:name w:val="Нижний колонтитул Знак"/>
    <w:basedOn w:val="a0"/>
    <w:link w:val="a5"/>
    <w:rPr>
      <w:rFonts w:ascii="Calibri" w:hAnsi="Calibri" w:cs="Times New Roman" w:eastAsia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styleId="a8" w:customStyle="1">
    <w:name w:val="Текст выноски Знак"/>
    <w:basedOn w:val="a0"/>
    <w:link w:val="a7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ConsPlusNormal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a9">
    <w:name w:val="List Paragraph"/>
    <w:basedOn w:val="a"/>
    <w:qFormat/>
    <w:uiPriority w:val="34"/>
    <w:pPr>
      <w:contextualSpacing w:val="true"/>
      <w:ind w:left="720"/>
    </w:pPr>
  </w:style>
  <w:style w:type="character" w:styleId="aa">
    <w:name w:val="Placeholder Text"/>
    <w:basedOn w:val="a0"/>
    <w:uiPriority w:val="99"/>
    <w:semiHidden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Pr>
      <w:sz w:val="20"/>
      <w:szCs w:val="20"/>
    </w:rPr>
  </w:style>
  <w:style w:type="character" w:styleId="ac" w:customStyle="1">
    <w:name w:val="Текст концевой сноски Знак"/>
    <w:basedOn w:val="a0"/>
    <w:link w:val="ab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ae">
    <w:name w:val="footnote text"/>
    <w:basedOn w:val="a"/>
    <w:link w:val="af"/>
    <w:uiPriority w:val="99"/>
    <w:unhideWhenUsed/>
    <w:rPr>
      <w:sz w:val="20"/>
      <w:szCs w:val="20"/>
    </w:rPr>
  </w:style>
  <w:style w:type="character" w:styleId="af" w:customStyle="1">
    <w:name w:val="Текст сноски Знак"/>
    <w:basedOn w:val="a0"/>
    <w:link w:val="ae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Pr>
      <w:vertAlign w:val="superscript"/>
    </w:rPr>
  </w:style>
  <w:style w:type="table" w:styleId="af1">
    <w:name w:val="Table Grid"/>
    <w:basedOn w:val="a1"/>
    <w:uiPriority w:val="59"/>
    <w:pPr>
      <w:spacing w:lineRule="auto" w:line="240" w:after="0"/>
    </w:pPr>
    <w:tblPr>
      <w:tblInd w:w="0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  <w:insideV w:val="single" w:sz="4" w:space="0" w:color="auto"/>
        <w:insideH w:val="single" w:sz="4" w:space="0" w:color="auto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blk" w:customStyle="1">
    <w:name w:val="blk"/>
    <w:basedOn w:val="a0"/>
  </w:style>
  <w:style w:type="character" w:styleId="af2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ConsPlusNonformat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footer" Target="footer3.xml" /><Relationship Id="rId18" Type="http://schemas.openxmlformats.org/officeDocument/2006/relationships/customXml" Target="../customXml/item1.xml" /><Relationship Id="rId19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20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21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22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23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24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25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6" Type="http://schemas.openxmlformats.org/officeDocument/2006/relationships/hyperlink" Target="consultantplus://offline/ref=8BF3C02650D204E211B97AD1DA8FA61A8B3B45E9256B8F286C2010AB146EB11E2A432581CF384F26E0BC6276F242BDEF5FA31EE13835E7B2A3050A40y8q5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ACADE-39FC-44B7-A39A-CF0175D82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haracters>25952</Characters>
  <CharactersWithSpaces>30444</CharactersWithSpaces>
  <Company/>
  <DocSecurity>0</DocSecurity>
  <HyperlinksChanged>false</HyperlinksChanged>
  <Lines>216</Lines>
  <LinksUpToDate>false</LinksUpToDate>
  <Pages>14</Pages>
  <Paragraphs>60</Paragraphs>
  <ScaleCrop>false</ScaleCrop>
  <SharedDoc>false</SharedDoc>
  <Template>Normal</Template>
  <TotalTime>1</TotalTime>
  <Words>4552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Пользователь Windows</cp:lastModifiedBy>
  <cp:revision>3</cp:revision>
  <cp:lastPrinted>2022-03-16T05:33:00Z</cp:lastPrinted>
  <dcterms:created xsi:type="dcterms:W3CDTF">2022-03-16T05:32:00Z</dcterms:created>
  <dcterms:modified xsi:type="dcterms:W3CDTF">2022-03-16T05:33:00Z</dcterms:modified>
</cp:coreProperties>
</file>