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>
        <w:rPr>
          <w:rFonts w:ascii="PT Astra Serif" w:hAnsi="PT Astra Serif"/>
          <w:bCs/>
          <w:sz w:val="26"/>
          <w:szCs w:val="26"/>
        </w:rPr>
        <w:t xml:space="preserve">№</w:t>
      </w:r>
      <w:r>
        <w:rPr>
          <w:rFonts w:ascii="PT Astra Serif" w:hAnsi="PT Astra Serif"/>
          <w:bCs/>
          <w:sz w:val="26"/>
          <w:szCs w:val="26"/>
        </w:rPr>
        <w:t xml:space="preserve"> 00</w:t>
      </w:r>
      <w:r>
        <w:rPr>
          <w:rFonts w:ascii="PT Astra Serif" w:hAnsi="PT Astra Serif"/>
          <w:bCs/>
          <w:sz w:val="26"/>
          <w:szCs w:val="26"/>
        </w:rPr>
        <w:t xml:space="preserve">41</w:t>
      </w:r>
      <w:r>
        <w:rPr>
          <w:rFonts w:ascii="PT Astra Serif" w:hAnsi="PT Astra Serif"/>
          <w:bCs/>
          <w:sz w:val="26"/>
          <w:szCs w:val="26"/>
        </w:rPr>
        <w:t xml:space="preserve">/01-07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орядка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 выполнение работ по сохранению (</w:t>
      </w:r>
      <w:r>
        <w:rPr>
          <w:rFonts w:ascii="PT Astra Serif" w:hAnsi="PT Astra Serif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1915 г., расположенного по </w:t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Утвердить Порядок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 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1915 г., расположенного по </w:t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4,</w:t>
      </w:r>
      <w:r>
        <w:rPr>
          <w:rFonts w:ascii="PT Astra Serif" w:hAnsi="PT Astra Serif"/>
          <w:sz w:val="26"/>
          <w:szCs w:val="26"/>
        </w:rPr>
        <w:t xml:space="preserve"> согласно приложению к настоящему приказу.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 Настоящий приказ вступает в силу со дня его официального опубликования, распространяется на правоотношения, возникшие с 1 января 202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года.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 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c>
          <w:tcPr>
            <w:tcW w:w="3284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Е.Е.Ярославцева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</w:p>
        </w:tc>
        <w:tc>
          <w:tcPr>
            <w:tcW w:w="3284" w:type="dxa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pgSz w:w="11906" w:h="16838"/>
          <w:pgMar w:top="1134" w:right="567" w:bottom="1134" w:left="1701" w:header="567" w:footer="709" w:gutter="0"/>
          <w:cols w:space="708"/>
          <w:docGrid w:linePitch="360"/>
          <w:titlePg/>
        </w:sectPr>
      </w:pPr>
    </w:p>
    <w:p>
      <w:pPr>
        <w:ind w:left="4821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приказом Комитета по охране объектов культурного наследия  Томской области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15.03.2022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0041/01-07</w:t>
      </w:r>
    </w:p>
    <w:p>
      <w:pPr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1915 г., расположенного по </w:t>
      </w:r>
      <w:r>
        <w:rPr>
          <w:rFonts w:ascii="PT Astra Serif" w:hAnsi="PT Astra Serif"/>
          <w:sz w:val="26"/>
          <w:szCs w:val="26"/>
        </w:rPr>
        <w:t xml:space="preserve">адресу: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/>
          <w:sz w:val="26"/>
          <w:szCs w:val="26"/>
        </w:rPr>
        <w:t xml:space="preserve">и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Настоящий Порядок устанавливает правила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 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субсидии)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отношении которого Комитет по охране объектов культурного наследия Томской области (далее – Комитет) осуществляет функции и полномочия учредителя, </w:t>
      </w:r>
      <w:r>
        <w:rPr>
          <w:rFonts w:ascii="PT Astra Serif" w:hAnsi="PT Astra Serif"/>
          <w:sz w:val="26"/>
          <w:szCs w:val="26"/>
        </w:rPr>
        <w:t xml:space="preserve">субсидии </w:t>
      </w:r>
      <w:r>
        <w:rPr>
          <w:rFonts w:ascii="PT Astra Serif" w:hAnsi="PT Astra Serif"/>
          <w:sz w:val="26"/>
          <w:szCs w:val="26"/>
        </w:rPr>
        <w:t xml:space="preserve">из</w:t>
      </w:r>
      <w:r>
        <w:rPr>
          <w:rFonts w:ascii="PT Astra Serif" w:hAnsi="PT Astra Serif"/>
          <w:sz w:val="26"/>
          <w:szCs w:val="26"/>
        </w:rPr>
        <w:t xml:space="preserve">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выполнение работ по </w:t>
      </w:r>
      <w:r>
        <w:rPr>
          <w:rFonts w:ascii="PT Astra Serif" w:hAnsi="PT Astra Serif"/>
          <w:sz w:val="26"/>
          <w:szCs w:val="26"/>
        </w:rPr>
        <w:t xml:space="preserve">сохранению (</w:t>
      </w:r>
      <w:r>
        <w:rPr>
          <w:rFonts w:ascii="PT Astra Serif" w:hAnsi="PT Astra Serif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/>
          <w:sz w:val="26"/>
          <w:szCs w:val="26"/>
        </w:rPr>
        <w:t xml:space="preserve">) объекта культурного</w:t>
      </w:r>
      <w:r>
        <w:rPr>
          <w:rFonts w:ascii="PT Astra Serif" w:hAnsi="PT Astra Serif"/>
          <w:sz w:val="26"/>
          <w:szCs w:val="26"/>
        </w:rPr>
        <w:t xml:space="preserve">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1915 г., расположенного по </w:t>
      </w:r>
      <w:r>
        <w:rPr>
          <w:rFonts w:ascii="PT Astra Serif" w:hAnsi="PT Astra Serif"/>
          <w:sz w:val="26"/>
          <w:szCs w:val="26"/>
        </w:rPr>
        <w:t xml:space="preserve">адресу: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Целью п</w:t>
      </w:r>
      <w:r>
        <w:rPr>
          <w:rFonts w:ascii="PT Astra Serif" w:hAnsi="PT Astra Serif"/>
          <w:sz w:val="26"/>
          <w:szCs w:val="26"/>
        </w:rPr>
        <w:t xml:space="preserve">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</w:t>
      </w:r>
      <w:r>
        <w:rPr>
          <w:rFonts w:ascii="PT Astra Serif" w:hAnsi="PT Astra Serif"/>
          <w:sz w:val="26"/>
          <w:szCs w:val="26"/>
        </w:rPr>
        <w:t xml:space="preserve">является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1915 г., расположенного по </w:t>
      </w:r>
      <w:r>
        <w:rPr>
          <w:rFonts w:ascii="PT Astra Serif" w:hAnsi="PT Astra Serif"/>
          <w:sz w:val="26"/>
          <w:szCs w:val="26"/>
        </w:rPr>
        <w:t xml:space="preserve">адресу: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>
        <w:rPr>
          <w:rFonts w:ascii="PT Astra Serif" w:hAnsi="PT Astra Serif"/>
          <w:sz w:val="26"/>
          <w:szCs w:val="26"/>
        </w:rPr>
        <w:t xml:space="preserve">ии  культуры), расположенных на </w:t>
      </w:r>
      <w:r>
        <w:rPr>
          <w:rFonts w:ascii="PT Astra Serif" w:hAnsi="PT Astra Serif"/>
          <w:sz w:val="26"/>
          <w:szCs w:val="26"/>
        </w:rPr>
        <w:t xml:space="preserve">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утвержденной приказом Комитета от 0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.03.2022 № 0</w:t>
      </w:r>
      <w:r>
        <w:rPr>
          <w:rFonts w:ascii="PT Astra Serif" w:hAnsi="PT Astra Serif"/>
          <w:sz w:val="26"/>
          <w:szCs w:val="26"/>
        </w:rPr>
        <w:t xml:space="preserve">031</w:t>
      </w:r>
      <w:r>
        <w:rPr>
          <w:rFonts w:ascii="PT Astra Serif" w:hAnsi="PT Astra Serif"/>
          <w:sz w:val="26"/>
          <w:szCs w:val="26"/>
        </w:rPr>
        <w:t xml:space="preserve">/01-07 «Об утверждении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 счет средств областного бюджета, выделенных в 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Законом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Томской области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от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декабря 2021 года № 136-ОЗ «</w:t>
      </w:r>
      <w:r>
        <w:rPr>
          <w:rFonts w:ascii="PT Astra Serif" w:hAnsi="PT Astra Serif" w:eastAsiaTheme="minorHAnsi"/>
          <w:sz w:val="26"/>
          <w:szCs w:val="26"/>
        </w:rPr>
        <w:t xml:space="preserve">Об областном бюджете на 2022 год и плановый период 2023 и 2024 годов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Главным распорядителем бюджетных средств, до которого в соответствии с бюджетным законодательством Российской Федерации как получателя бюджетных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средств доведены в установленном порядке лимиты бюджетных обязательств на предоставление субсидии на соответствующий финансовый год, является Комитет.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Условия и </w:t>
      </w:r>
      <w:r>
        <w:rPr>
          <w:rFonts w:ascii="PT Astra Serif" w:hAnsi="PT Astra Serif" w:eastAsiaTheme="minorHAnsi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</w:t>
      </w:r>
      <w:r>
        <w:rPr>
          <w:rFonts w:ascii="PT Astra Serif" w:hAnsi="PT Astra Serif" w:eastAsiaTheme="minorHAnsi"/>
          <w:sz w:val="26"/>
          <w:szCs w:val="26"/>
        </w:rPr>
        <w:t xml:space="preserve">в пункте 2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 направляет в Комитет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</w:t>
      </w:r>
      <w:r>
        <w:rPr>
          <w:rFonts w:ascii="PT Astra Serif" w:hAnsi="PT Astra Serif" w:eastAsiaTheme="minorHAnsi"/>
          <w:sz w:val="26"/>
          <w:szCs w:val="26"/>
        </w:rPr>
        <w:t xml:space="preserve">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 </w:t>
      </w:r>
      <w:r>
        <w:rPr>
          <w:rFonts w:ascii="PT Astra Serif" w:hAnsi="PT Astra Serif" w:eastAsiaTheme="minorHAnsi"/>
          <w:sz w:val="26"/>
          <w:szCs w:val="26"/>
        </w:rPr>
        <w:t xml:space="preserve">ра</w:t>
      </w:r>
      <w:r>
        <w:rPr>
          <w:rFonts w:ascii="PT Astra Serif" w:hAnsi="PT Astra Serif" w:eastAsiaTheme="minorHAnsi"/>
          <w:sz w:val="26"/>
          <w:szCs w:val="26"/>
        </w:rPr>
        <w:t xml:space="preserve">счет-обоснование суммы субсидии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 сметную документацию с приложением копии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заключени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о 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определения сметной стоимости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, заверенные 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4) техническое задание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4, </w:t>
      </w:r>
      <w:r>
        <w:rPr>
          <w:rFonts w:ascii="PT Astra Serif" w:hAnsi="PT Astra Serif" w:eastAsiaTheme="minorHAnsi"/>
          <w:sz w:val="26"/>
          <w:szCs w:val="26"/>
        </w:rPr>
        <w:t xml:space="preserve">заверенное</w:t>
      </w:r>
      <w:r>
        <w:rPr>
          <w:rFonts w:ascii="PT Astra Serif" w:hAnsi="PT Astra Serif" w:eastAsiaTheme="minorHAnsi"/>
          <w:sz w:val="26"/>
          <w:szCs w:val="26"/>
        </w:rPr>
        <w:t xml:space="preserve"> получателем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вправе представить по собственной инициативе следующие документы: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реестра юридических лиц, полученную не ранее чем за </w:t>
      </w:r>
      <w:r>
        <w:rPr>
          <w:rFonts w:ascii="PT Astra Serif" w:hAnsi="PT Astra Serif" w:eastAsiaTheme="minorHAnsi"/>
          <w:sz w:val="26"/>
          <w:szCs w:val="26"/>
        </w:rPr>
        <w:t xml:space="preserve">один месяц до дня обращения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 с </w:t>
      </w:r>
      <w:r>
        <w:rPr>
          <w:rFonts w:ascii="PT Astra Serif" w:hAnsi="PT Astra Serif" w:eastAsiaTheme="minorHAnsi"/>
          <w:sz w:val="26"/>
          <w:szCs w:val="26"/>
        </w:rPr>
        <w:t xml:space="preserve">пояснительной запиской</w:t>
      </w:r>
      <w:r>
        <w:rPr>
          <w:rFonts w:ascii="PT Astra Serif" w:hAnsi="PT Astra Serif" w:eastAsiaTheme="minorHAnsi"/>
          <w:sz w:val="26"/>
          <w:szCs w:val="26"/>
        </w:rPr>
        <w:t xml:space="preserve"> на </w:t>
      </w:r>
      <w:r>
        <w:rPr>
          <w:rFonts w:ascii="PT Astra Serif" w:hAnsi="PT Astra Serif" w:eastAsiaTheme="minorHAnsi"/>
          <w:sz w:val="26"/>
          <w:szCs w:val="26"/>
        </w:rPr>
        <w:t xml:space="preserve">получение субсидии;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неисполненной обязанности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по уплате налогов, сборов, страховых взносов, пеней, штрафов, процентов, подлежащих уплате в соответствии с законодательством Российской Федерации о налогах и сборах, по состоянию на 1-е число месяца, предшествующего месяцу, в котором планируется принятие решения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трех</w:t>
      </w:r>
      <w:r>
        <w:rPr>
          <w:rFonts w:ascii="PT Astra Serif" w:hAnsi="PT Astra Serif" w:cs="Calibri" w:eastAsiaTheme="minorHAnsi"/>
          <w:sz w:val="26"/>
          <w:szCs w:val="26"/>
        </w:rPr>
        <w:t xml:space="preserve"> рабочих дней со дня обращения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олучателя субсидии.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в течение десяти рабочих дней со дня </w:t>
      </w:r>
      <w:r>
        <w:rPr>
          <w:rFonts w:ascii="PT Astra Serif" w:hAnsi="PT Astra Serif" w:eastAsiaTheme="minorHAnsi"/>
          <w:sz w:val="26"/>
          <w:szCs w:val="26"/>
        </w:rPr>
        <w:t xml:space="preserve">представления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пояснительной записки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 предмет достоверности содержащейся в представленных документах информации, </w:t>
      </w:r>
      <w:r>
        <w:rPr>
          <w:rFonts w:ascii="PT Astra Serif" w:hAnsi="PT Astra Serif" w:eastAsiaTheme="minorHAnsi"/>
          <w:sz w:val="26"/>
          <w:szCs w:val="26"/>
        </w:rPr>
        <w:t xml:space="preserve">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распоряжением</w:t>
      </w:r>
      <w:r>
        <w:rPr>
          <w:rFonts w:ascii="PT Astra Serif" w:hAnsi="PT Astra Serif" w:eastAsiaTheme="minorHAnsi"/>
          <w:sz w:val="26"/>
          <w:szCs w:val="26"/>
        </w:rPr>
        <w:t xml:space="preserve"> Комитета.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в течение пяти рабочих дня со дня его принятия Комитетом.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</w:t>
      </w:r>
      <w:r>
        <w:rPr>
          <w:rFonts w:ascii="PT Astra Serif" w:hAnsi="PT Astra Serif" w:cs="Calibri" w:eastAsiaTheme="minorHAnsi"/>
          <w:sz w:val="26"/>
          <w:szCs w:val="26"/>
        </w:rPr>
        <w:t xml:space="preserve"> несоответствие представленных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 документов</w:t>
      </w:r>
      <w:r>
        <w:rPr>
          <w:rFonts w:ascii="PT Astra Serif" w:hAnsi="PT Astra Serif" w:cs="Calibri" w:eastAsiaTheme="minorHAnsi"/>
          <w:sz w:val="26"/>
          <w:szCs w:val="26"/>
        </w:rPr>
        <w:t xml:space="preserve"> требованиям, определенным </w:t>
      </w:r>
      <w:r>
        <w:rPr>
          <w:rFonts w:ascii="PT Astra Serif" w:hAnsi="PT Astra Serif" w:cs="Calibri" w:eastAsiaTheme="minorHAnsi"/>
          <w:sz w:val="26"/>
          <w:szCs w:val="26"/>
        </w:rPr>
        <w:t xml:space="preserve">пункт</w:t>
      </w:r>
      <w:r>
        <w:rPr>
          <w:rFonts w:ascii="PT Astra Serif" w:hAnsi="PT Astra Serif" w:cs="Calibri" w:eastAsiaTheme="minorHAnsi"/>
          <w:sz w:val="26"/>
          <w:szCs w:val="26"/>
        </w:rPr>
        <w:t xml:space="preserve">ом</w:t>
      </w:r>
      <w:r>
        <w:rPr>
          <w:rFonts w:ascii="PT Astra Serif" w:hAnsi="PT Astra Serif" w:cs="Calibri" w:eastAsiaTheme="minorHAnsi"/>
          <w:sz w:val="26"/>
          <w:szCs w:val="26"/>
        </w:rPr>
        <w:t xml:space="preserve"> 4 настоящего Порядка</w:t>
      </w:r>
      <w:r>
        <w:rPr>
          <w:rFonts w:ascii="PT Astra Serif" w:hAnsi="PT Astra Serif" w:cs="Calibri" w:eastAsiaTheme="minorHAnsi"/>
          <w:sz w:val="26"/>
          <w:szCs w:val="26"/>
        </w:rPr>
        <w:t xml:space="preserve">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5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ставленных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информации с </w:t>
      </w:r>
      <w:r>
        <w:rPr>
          <w:rFonts w:ascii="PT Astra Serif" w:hAnsi="PT Astra Serif" w:eastAsiaTheme="minorHAnsi"/>
          <w:sz w:val="26"/>
          <w:szCs w:val="26"/>
        </w:rPr>
        <w:t xml:space="preserve">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</w:p>
    <w:p>
      <w:pPr>
        <w:pStyle w:val="a9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определяемые на основании сметной </w:t>
      </w:r>
      <w:r>
        <w:rPr>
          <w:rFonts w:ascii="PT Astra Serif" w:hAnsi="PT Astra Serif" w:eastAsiaTheme="minorHAnsi"/>
          <w:sz w:val="26"/>
          <w:szCs w:val="26"/>
        </w:rPr>
        <w:t xml:space="preserve">стоимости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 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нии документов, представленных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в соответствии с </w:t>
      </w:r>
      <w:hyperlink r:id="rId16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Комитету в областном бюджете на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цель, указанную в </w:t>
      </w:r>
      <w:hyperlink r:id="rId17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(далее – соглашение).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субсидии является соответствие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 требованиям, установленным </w:t>
      </w:r>
      <w:hyperlink r:id="rId18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19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соответствии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распоряжения</w:t>
      </w:r>
      <w:r>
        <w:rPr>
          <w:rFonts w:ascii="PT Astra Serif" w:hAnsi="PT Astra Serif" w:eastAsiaTheme="minorHAnsi"/>
          <w:sz w:val="26"/>
          <w:szCs w:val="26"/>
        </w:rPr>
        <w:t xml:space="preserve">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0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оящего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являются: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 Комитета;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принятие Комитетом решения, предусмотренного пунктом 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рабочих дней со дня получения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 Комитета.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настоящего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является: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низации в форме присоединения к </w:t>
      </w:r>
      <w:r>
        <w:rPr>
          <w:rFonts w:ascii="PT Astra Serif" w:hAnsi="PT Astra Serif" w:cs="Calibri" w:eastAsiaTheme="minorHAnsi"/>
          <w:sz w:val="26"/>
          <w:szCs w:val="26"/>
        </w:rPr>
        <w:t xml:space="preserve">юридическому лицу, являющемуся получателем субсидии, другого юридического лица)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ликвидация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вследствие которых дополнительное соглашение о расторжении соглашения заключается в течение десяти календарных дней со дня пис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ьменного уведомления Комитетом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 о реорганизации или ликвидации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целей и условий предоставления субсидии, вследствие которого дополнительное соглашение о расторжении соглашения заключается в течение десяти кал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ендарных дней со дня получения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 Комитета о выявлении нарушений;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льтата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органа государственного финансового контроля.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</w:t>
      </w:r>
      <w:r>
        <w:rPr>
          <w:rFonts w:ascii="PT Astra Serif" w:hAnsi="PT Astra Serif" w:cs="Calibri" w:eastAsiaTheme="minorHAnsi"/>
          <w:sz w:val="26"/>
          <w:szCs w:val="26"/>
        </w:rPr>
        <w:t xml:space="preserve">Пол</w:t>
      </w:r>
      <w:r>
        <w:rPr>
          <w:rFonts w:ascii="PT Astra Serif" w:hAnsi="PT Astra Serif" w:cs="Calibri" w:eastAsiaTheme="minorHAnsi"/>
          <w:sz w:val="26"/>
          <w:szCs w:val="26"/>
        </w:rPr>
        <w:t xml:space="preserve">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ом Федеральной налоговой службы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требование об отсутствии у получателя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просрочен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ной задолженности по возврату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областной бюджет субсидий, бюджетных инвестиций, предоставленных в том числе в соответствии с иными правовыми актами;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</w:t>
      </w:r>
      <w:r>
        <w:rPr>
          <w:rFonts w:ascii="PT Astra Serif" w:hAnsi="PT Astra Serif" w:cs="Calibri" w:eastAsiaTheme="minorHAnsi"/>
          <w:sz w:val="26"/>
          <w:szCs w:val="26"/>
        </w:rPr>
        <w:t xml:space="preserve">муся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явля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</w:t>
      </w:r>
      <w:r>
        <w:rPr>
          <w:rFonts w:ascii="PT Astra Serif" w:hAnsi="PT Astra Serif" w:eastAsiaTheme="minorHAnsi"/>
          <w:sz w:val="26"/>
          <w:szCs w:val="26"/>
        </w:rPr>
        <w:t xml:space="preserve">е </w:t>
      </w:r>
      <w:r>
        <w:rPr>
          <w:rFonts w:ascii="PT Astra Serif" w:hAnsi="PT Astra Serif" w:eastAsiaTheme="minorHAnsi"/>
          <w:sz w:val="26"/>
          <w:szCs w:val="26"/>
        </w:rPr>
        <w:t xml:space="preserve">работ</w:t>
      </w:r>
      <w:r>
        <w:rPr>
          <w:rFonts w:ascii="PT Astra Serif" w:hAnsi="PT Astra Serif" w:eastAsiaTheme="minorHAnsi"/>
          <w:sz w:val="26"/>
          <w:szCs w:val="26"/>
        </w:rPr>
        <w:t xml:space="preserve">ы по </w:t>
      </w:r>
      <w:r>
        <w:rPr>
          <w:rFonts w:ascii="PT Astra Serif" w:hAnsi="PT Astra Serif" w:eastAsiaTheme="minorHAnsi"/>
          <w:sz w:val="26"/>
          <w:szCs w:val="26"/>
        </w:rPr>
        <w:t xml:space="preserve">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, в срок до 25 </w:t>
      </w:r>
      <w:r>
        <w:rPr>
          <w:rFonts w:ascii="PT Astra Serif" w:hAnsi="PT Astra Serif" w:eastAsiaTheme="minorHAnsi"/>
          <w:sz w:val="26"/>
          <w:szCs w:val="26"/>
        </w:rPr>
        <w:t xml:space="preserve">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а в случае принятия решения в соответствии с пунктами 18-21 настоящего Порядка в срок до 25 декабря 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отремонтированный объект.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</w:t>
      </w:r>
      <w:r>
        <w:rPr>
          <w:rFonts w:ascii="PT Astra Serif" w:hAnsi="PT Astra Serif" w:eastAsiaTheme="minorHAnsi"/>
          <w:sz w:val="26"/>
          <w:szCs w:val="26"/>
        </w:rPr>
        <w:t xml:space="preserve">финансовый год и плановый период на предоставление субсидий на иные цели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в соответст</w:t>
      </w:r>
      <w:r>
        <w:rPr>
          <w:rFonts w:ascii="PT Astra Serif" w:hAnsi="PT Astra Serif" w:eastAsiaTheme="minorHAnsi"/>
          <w:sz w:val="26"/>
          <w:szCs w:val="26"/>
        </w:rPr>
        <w:t xml:space="preserve">вии с заявкой, предоставленной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3 к настоящему Порядку с приложением документов, подтверждающих возникновение фактической потребности в средствах субсидии:</w:t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</w:t>
      </w:r>
      <w:r>
        <w:rPr>
          <w:rFonts w:ascii="PT Astra Serif" w:hAnsi="PT Astra Serif" w:eastAsiaTheme="minorHAnsi"/>
          <w:sz w:val="26"/>
          <w:szCs w:val="26"/>
        </w:rPr>
        <w:t xml:space="preserve">влении расходов, произведенных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и о достижении результата и </w:t>
      </w:r>
      <w:r>
        <w:rPr>
          <w:rFonts w:ascii="PT Astra Serif" w:hAnsi="PT Astra Serif" w:eastAsiaTheme="minorHAnsi"/>
          <w:sz w:val="26"/>
          <w:szCs w:val="26"/>
        </w:rPr>
        <w:t xml:space="preserve">показателей достижения результата, указанного в пункте 13 настоящего Порядка (далее – отчет),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 к настоящему Порядку.</w:t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</w:t>
      </w:r>
      <w:r>
        <w:rPr>
          <w:rFonts w:ascii="PT Astra Serif" w:hAnsi="PT Astra Serif" w:cs="Calibri" w:eastAsiaTheme="minorHAnsi"/>
          <w:sz w:val="26"/>
          <w:szCs w:val="26"/>
        </w:rPr>
        <w:t xml:space="preserve">оглашен</w:t>
      </w:r>
      <w:r>
        <w:rPr>
          <w:rFonts w:ascii="PT Astra Serif" w:hAnsi="PT Astra Serif" w:cs="Calibri" w:eastAsiaTheme="minorHAnsi"/>
          <w:sz w:val="26"/>
          <w:szCs w:val="26"/>
        </w:rPr>
        <w:t xml:space="preserve">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сроки и формы представления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 дополнительной отчетности.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следующие сроки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</w:t>
      </w:r>
      <w:r>
        <w:rPr>
          <w:rFonts w:ascii="PT Astra Serif" w:hAnsi="PT Astra Serif" w:eastAsiaTheme="minorHAnsi"/>
          <w:sz w:val="26"/>
          <w:szCs w:val="26"/>
        </w:rPr>
        <w:t xml:space="preserve">об осуществлении расходов, произве</w:t>
      </w:r>
      <w:r>
        <w:rPr>
          <w:rFonts w:ascii="PT Astra Serif" w:hAnsi="PT Astra Serif" w:eastAsiaTheme="minorHAnsi"/>
          <w:sz w:val="26"/>
          <w:szCs w:val="26"/>
        </w:rPr>
        <w:t xml:space="preserve">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 срок до 30 декабря текущего финансового года;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</w:t>
      </w: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 срок до </w:t>
      </w:r>
      <w:r>
        <w:rPr>
          <w:rFonts w:ascii="PT Astra Serif" w:hAnsi="PT Astra Serif" w:eastAsiaTheme="minorHAnsi"/>
          <w:sz w:val="26"/>
          <w:szCs w:val="26"/>
        </w:rPr>
        <w:t xml:space="preserve">30 декабря текущего финансового года.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8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</w:p>
    <w:p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в соответствии с пунктом 4 настоящего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</w:t>
      </w:r>
      <w:r>
        <w:rPr>
          <w:rFonts w:ascii="PT Astra Serif" w:hAnsi="PT Astra Serif" w:eastAsiaTheme="minorHAnsi"/>
          <w:sz w:val="26"/>
          <w:szCs w:val="26"/>
        </w:rPr>
        <w:t xml:space="preserve">информацию о наличии у получателя субсидии неисполненных обязательств, источником финансового обеспечения которых являются не использованные на 1 января текущего финансового года остатки субсидии, а также копий документов, подтверждающих наличие и объем указанных обязательств получателя субсидии, заверенных </w:t>
      </w:r>
      <w:r>
        <w:rPr>
          <w:rFonts w:ascii="PT Astra Serif" w:hAnsi="PT Astra Serif" w:eastAsiaTheme="minorHAnsi"/>
          <w:sz w:val="26"/>
          <w:szCs w:val="26"/>
        </w:rPr>
        <w:t xml:space="preserve">руководителем получателя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</w:t>
      </w: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рассматривает их и принимает решение о направлении остатков субсидии в текущем финансовом году на ту же цель или об отказе использования остатков субсидии в текущем финансовом году, которое оформляется в письменном виде и направляется получателю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. Решение о направлении остатков субсидии в текущем финансовом году на ту же цель принимается в форме распоряжения Комитета.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1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2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несоблюдения получателем субсидии целей и условий, установленных при предоставлении субсидии, выявленного по результатам проверок,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0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411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</w:p>
    <w:p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4,</w:t>
      </w:r>
      <w:r>
        <w:rPr>
          <w:rFonts w:ascii="PT Astra Serif" w:hAnsi="PT Astra Serif" w:eastAsiaTheme="minorHAnsi"/>
          <w:sz w:val="26"/>
          <w:szCs w:val="26"/>
        </w:rPr>
        <w:t xml:space="preserve"> в </w:t>
      </w:r>
      <w:r>
        <w:rPr>
          <w:rFonts w:ascii="PT Astra Serif" w:hAnsi="PT Astra Serif" w:eastAsiaTheme="minorHAnsi"/>
          <w:sz w:val="26"/>
          <w:szCs w:val="26"/>
        </w:rPr>
        <w:t xml:space="preserve">размере</w:t>
      </w:r>
      <w:r>
        <w:rPr>
          <w:rFonts w:ascii="PT Astra Serif" w:hAnsi="PT Astra Serif" w:eastAsiaTheme="minorHAnsi"/>
          <w:sz w:val="26"/>
          <w:szCs w:val="26"/>
        </w:rPr>
        <w:t xml:space="preserve"> _______ руб.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_____ листах: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</w:t>
      </w:r>
      <w:r>
        <w:rPr>
          <w:rFonts w:ascii="PT Astra Serif" w:hAnsi="PT Astra Serif" w:eastAsiaTheme="minorHAnsi"/>
          <w:sz w:val="20"/>
          <w:szCs w:val="20"/>
        </w:rPr>
        <w:t xml:space="preserve">Порядка</w:t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определения объема и </w:t>
      </w:r>
      <w:r>
        <w:rPr>
          <w:rFonts w:ascii="PT Astra Serif" w:hAnsi="PT Astra Serif" w:eastAsiaTheme="minorHAnsi"/>
          <w:sz w:val="20"/>
          <w:szCs w:val="20"/>
        </w:rPr>
        <w:t xml:space="preserve">условия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на выполнение работ по сохранению (восстановлению большого зала и крыши) объекта культурного наследия регионального значения «Театр-синематограф «Новый», 1915 г., расположенного по адресу:</w:t>
      </w:r>
      <w:r>
        <w:rPr>
          <w:rFonts w:ascii="PT Astra Serif" w:hAnsi="PT Astra Serif" w:eastAsiaTheme="minorHAnsi"/>
          <w:sz w:val="20"/>
          <w:szCs w:val="20"/>
        </w:rPr>
        <w:t xml:space="preserve"> Т</w:t>
      </w:r>
      <w:r>
        <w:rPr>
          <w:rFonts w:ascii="PT Astra Serif" w:hAnsi="PT Astra Serif" w:eastAsiaTheme="minorHAnsi"/>
          <w:sz w:val="20"/>
          <w:szCs w:val="20"/>
        </w:rPr>
        <w:t xml:space="preserve">омская область, г. </w:t>
      </w:r>
      <w:r>
        <w:rPr>
          <w:rFonts w:ascii="PT Astra Serif" w:hAnsi="PT Astra Serif" w:eastAsiaTheme="minorHAnsi"/>
          <w:sz w:val="20"/>
          <w:szCs w:val="20"/>
        </w:rPr>
        <w:t xml:space="preserve">Томск, пер. </w:t>
      </w:r>
      <w:r>
        <w:rPr>
          <w:rFonts w:ascii="PT Astra Serif" w:hAnsi="PT Astra Serif" w:eastAsiaTheme="minorHAnsi"/>
          <w:sz w:val="20"/>
          <w:szCs w:val="20"/>
        </w:rPr>
        <w:t xml:space="preserve">Нахановича</w:t>
      </w:r>
      <w:r>
        <w:rPr>
          <w:rFonts w:ascii="PT Astra Serif" w:hAnsi="PT Astra Serif" w:eastAsiaTheme="minorHAnsi"/>
          <w:sz w:val="20"/>
          <w:szCs w:val="20"/>
        </w:rPr>
        <w:t xml:space="preserve">, 4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Начальник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   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_________</w:t>
      </w:r>
      <w:r>
        <w:rPr>
          <w:rFonts w:ascii="PT Astra Serif" w:hAnsi="PT Astra Serif" w:eastAsiaTheme="minorHAnsi"/>
          <w:sz w:val="26"/>
          <w:szCs w:val="26"/>
        </w:rPr>
        <w:t xml:space="preserve">________</w:t>
      </w:r>
      <w:r>
        <w:rPr>
          <w:rFonts w:ascii="PT Astra Serif" w:hAnsi="PT Astra Serif" w:eastAsiaTheme="minorHAnsi"/>
          <w:sz w:val="26"/>
          <w:szCs w:val="26"/>
        </w:rPr>
        <w:t xml:space="preserve">_________      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</w:t>
      </w:r>
      <w:r>
        <w:rPr>
          <w:rFonts w:ascii="PT Astra Serif" w:hAnsi="PT Astra Serif" w:eastAsiaTheme="minorHAnsi"/>
          <w:sz w:val="20"/>
          <w:szCs w:val="20"/>
        </w:rPr>
        <w:t xml:space="preserve">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, имя, отчество, последнее – при наличии</w:t>
      </w:r>
      <w:r>
        <w:rPr>
          <w:rFonts w:ascii="PT Astra Serif" w:hAnsi="PT Astra Serif" w:eastAsiaTheme="minorHAnsi"/>
          <w:sz w:val="20"/>
          <w:szCs w:val="20"/>
        </w:rPr>
        <w:t xml:space="preserve">)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</w:p>
    <w:p>
      <w:pPr>
        <w:pStyle w:val="a9"/>
        <w:ind w:left="0" w:firstLine="709"/>
        <w:jc w:val="both"/>
        <w:tabs>
          <w:tab w:val="left" w:pos="4253"/>
        </w:tabs>
        <w:rPr>
          <w:rFonts w:ascii="PT Astra Serif" w:hAnsi="PT Astra Serif"/>
        </w:rPr>
      </w:pPr>
    </w:p>
    <w:p>
      <w:pPr>
        <w:pStyle w:val="a9"/>
        <w:ind w:left="0" w:firstLine="709"/>
        <w:jc w:val="both"/>
        <w:tabs>
          <w:tab w:val="left" w:pos="4962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</w:p>
    <w:p>
      <w:pPr>
        <w:jc w:val="both"/>
        <w:rPr>
          <w:rFonts w:ascii="PT Astra Serif" w:hAnsi="PT Astra Serif"/>
        </w:rPr>
        <w:sectPr>
          <w:headerReference w:type="first" r:id="rId12"/>
          <w:pgSz w:w="11906" w:h="16838"/>
          <w:pgMar w:top="567" w:right="567" w:bottom="993" w:left="1134" w:header="709" w:footer="709" w:gutter="0"/>
          <w:pgNumType w:start="8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на выполнение работ по сохранению объектов культурного наследия, расположенных на территории Томской области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использованию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</w:t>
      </w:r>
      <w:r>
        <w:rPr>
          <w:rFonts w:ascii="PT Astra Serif" w:hAnsi="PT Astra Serif" w:eastAsiaTheme="minorHAnsi"/>
          <w:sz w:val="26"/>
          <w:szCs w:val="26"/>
        </w:rPr>
        <w:t xml:space="preserve">ть субсидию, предоставляемую из </w:t>
      </w:r>
      <w:r>
        <w:rPr>
          <w:rFonts w:ascii="PT Astra Serif" w:hAnsi="PT Astra Serif" w:eastAsiaTheme="minorHAnsi"/>
          <w:sz w:val="26"/>
          <w:szCs w:val="26"/>
        </w:rPr>
        <w:t xml:space="preserve">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ConsPlusNormal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5588"/>
        <w:gridCol w:w="1417"/>
        <w:gridCol w:w="2775"/>
      </w:tblGrid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расходов мероприятия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(руб.)</w:t>
            </w:r>
          </w:p>
        </w:tc>
      </w:tr>
      <w:tr>
        <w:trPr>
          <w:trHeight w:val="2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  <w:sz w:val="26"/>
          <w:szCs w:val="26"/>
        </w:rPr>
        <w:t xml:space="preserve">лненных работ в __</w:t>
      </w:r>
      <w:r>
        <w:rPr>
          <w:rFonts w:ascii="PT Astra Serif" w:hAnsi="PT Astra Serif" w:eastAsiaTheme="minorHAnsi"/>
          <w:sz w:val="26"/>
          <w:szCs w:val="26"/>
        </w:rPr>
        <w:t xml:space="preserve">экз. на _</w:t>
      </w:r>
      <w:r>
        <w:rPr>
          <w:rFonts w:ascii="PT Astra Serif" w:hAnsi="PT Astra Serif" w:eastAsiaTheme="minorHAnsi"/>
          <w:sz w:val="26"/>
          <w:szCs w:val="26"/>
        </w:rPr>
        <w:t xml:space="preserve">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contextualSpacing w:val="true"/>
        <w:jc w:val="both"/>
        <w:rPr>
          <w:rFonts w:ascii="PT Astra Serif" w:hAnsi="PT Astra Serif"/>
          <w:sz w:val="20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c>
          <w:tcPr>
            <w:shd w:val="clear" w:fill="auto" w:color="auto"/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  <w:tc>
          <w:tcPr>
            <w:shd w:val="clear" w:fill="auto" w:color="auto"/>
            <w:tcW w:w="4838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 </w:t>
            </w:r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</w:p>
        </w:tc>
      </w:tr>
    </w:tbl>
    <w:p>
      <w:pPr>
        <w:jc w:val="both"/>
        <w:tabs>
          <w:tab w:val="left" w:pos="4253"/>
        </w:tabs>
        <w:rPr>
          <w:rFonts w:ascii="PT Astra Serif" w:hAnsi="PT Astra Serif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  <w:sectPr>
          <w:pgSz w:w="11906" w:h="16838"/>
          <w:pgMar w:top="567" w:right="567" w:bottom="993" w:left="1134" w:header="709" w:footer="709" w:gutter="0"/>
          <w:pgNumType w:start="9"/>
          <w:cols w:space="708"/>
          <w:docGrid w:linePitch="360"/>
          <w:titlePg/>
        </w:sectPr>
      </w:pPr>
    </w:p>
    <w:p>
      <w:pPr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</w:p>
    <w:p>
      <w:pPr>
        <w:contextualSpacing w:val="true"/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ab/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изведенных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1466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567"/>
              <w:gridCol w:w="851"/>
              <w:gridCol w:w="1843"/>
              <w:gridCol w:w="850"/>
              <w:gridCol w:w="1418"/>
              <w:gridCol w:w="1701"/>
              <w:gridCol w:w="850"/>
              <w:gridCol w:w="1559"/>
              <w:gridCol w:w="851"/>
              <w:gridCol w:w="1694"/>
              <w:gridCol w:w="1211"/>
            </w:tblGrid>
            <w:tr>
              <w:tc>
                <w:tcPr>
                  <w:gridSpan w:val="2"/>
                  <w:tcW w:w="1696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Субсидия</w:t>
                  </w:r>
                </w:p>
              </w:tc>
              <w:tc>
                <w:tcPr>
                  <w:gridSpan w:val="2"/>
                  <w:tcW w:w="2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Остаток субсидии на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 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начало текущего финансового года</w:t>
                  </w:r>
                </w:p>
              </w:tc>
              <w:tc>
                <w:tcPr>
                  <w:gridSpan w:val="3"/>
                  <w:tcW w:w="396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Поступления</w:t>
                  </w:r>
                </w:p>
              </w:tc>
              <w:tc>
                <w:tcPr>
                  <w:gridSpan w:val="2"/>
                  <w:tcW w:w="240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Выплаты</w:t>
                  </w:r>
                </w:p>
              </w:tc>
              <w:tc>
                <w:tcPr>
                  <w:gridSpan w:val="3"/>
                  <w:tcW w:w="3756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Остаток субсидии на конец отчетного периода</w:t>
                  </w:r>
                </w:p>
              </w:tc>
            </w:tr>
            <w:tr>
              <w:trPr>
                <w:trHeight w:val="125"/>
              </w:trPr>
              <w:tc>
                <w:tcPr>
                  <w:tcW w:w="1129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аиме-нование</w:t>
                  </w:r>
                </w:p>
              </w:tc>
              <w:tc>
                <w:tcPr>
                  <w:tcW w:w="567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код</w:t>
                  </w:r>
                </w:p>
              </w:tc>
              <w:tc>
                <w:tcPr>
                  <w:tcW w:w="851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tcW w:w="1843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них,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разрешенный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к использованию</w:t>
                  </w:r>
                </w:p>
              </w:tc>
              <w:tc>
                <w:tcPr>
                  <w:tcW w:w="850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gridSpan w:val="2"/>
                  <w:tcW w:w="311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 том числе:</w:t>
                  </w:r>
                </w:p>
              </w:tc>
              <w:tc>
                <w:tcPr>
                  <w:tcW w:w="850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tcW w:w="1559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них: возвращено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 областной бюджет</w:t>
                  </w:r>
                </w:p>
              </w:tc>
              <w:tc>
                <w:tcPr>
                  <w:tcW w:w="851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gridSpan w:val="2"/>
                  <w:tcW w:w="2905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 том числе:</w:t>
                  </w:r>
                </w:p>
              </w:tc>
            </w:tr>
            <w:tr>
              <w:trPr>
                <w:trHeight w:val="125"/>
              </w:trPr>
              <w:tc>
                <w:tcPr>
                  <w:tcW w:w="1129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областного бюджета</w:t>
                  </w:r>
                </w:p>
              </w:tc>
              <w:tc>
                <w:tcPr>
                  <w:tcW w:w="170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возврат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дебиторской задолженности прошлых лет</w:t>
                  </w:r>
                </w:p>
              </w:tc>
              <w:tc>
                <w:tcPr>
                  <w:tcW w:w="850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требуется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 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направлении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 на те же цели</w:t>
                  </w:r>
                </w:p>
              </w:tc>
              <w:tc>
                <w:tcPr>
                  <w:tcW w:w="121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подлежит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возврату</w:t>
                  </w: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843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50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418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0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50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55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21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21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21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spacing w:lineRule="auto" w:line="233"/>
        <w:widowControl w:val="off"/>
        <w:tabs>
          <w:tab w:val="left" w:pos="1977"/>
          <w:tab w:val="center" w:pos="4677"/>
        </w:tabs>
        <w:rPr>
          <w:rFonts w:ascii="PT Astra Serif" w:hAnsi="PT Astra Serif"/>
        </w:rPr>
        <w:sectPr>
          <w:pgSz w:w="16838" w:h="11906" w:orient="landscape"/>
          <w:pgMar w:top="1701" w:right="1134" w:bottom="567" w:left="1134" w:header="709" w:footer="709" w:gutter="0"/>
          <w:pgNumType w:start="10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 </w:t>
      </w:r>
      <w:r>
        <w:rPr>
          <w:rFonts w:ascii="PT Astra Serif" w:hAnsi="PT Astra Serif" w:eastAsiaTheme="minorHAnsi"/>
          <w:sz w:val="26"/>
          <w:szCs w:val="26"/>
        </w:rPr>
        <w:t xml:space="preserve">сохранению (</w:t>
      </w:r>
      <w:r>
        <w:rPr>
          <w:rFonts w:ascii="PT Astra Serif" w:hAnsi="PT Astra Serif" w:eastAsiaTheme="minorHAnsi"/>
          <w:sz w:val="26"/>
          <w:szCs w:val="26"/>
        </w:rPr>
        <w:t xml:space="preserve">восстановлению большого зала и крыши</w:t>
      </w:r>
      <w:r>
        <w:rPr>
          <w:rFonts w:ascii="PT Astra Serif" w:hAnsi="PT Astra Serif" w:eastAsiaTheme="minorHAnsi"/>
          <w:sz w:val="26"/>
          <w:szCs w:val="26"/>
        </w:rPr>
        <w:t xml:space="preserve">)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1915 г.,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</w:t>
      </w:r>
      <w:r>
        <w:rPr>
          <w:rFonts w:ascii="PT Astra Serif" w:hAnsi="PT Astra Serif" w:eastAsiaTheme="minorHAnsi"/>
          <w:sz w:val="26"/>
          <w:szCs w:val="26"/>
        </w:rPr>
        <w:t xml:space="preserve">___________20__г.</w:t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</w:tc>
      </w:tr>
      <w:tr>
        <w:tc>
          <w:tcPr>
            <w:gridSpan w:val="2"/>
            <w:tcW w:w="648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</w:p>
        </w:tc>
        <w:tc>
          <w:tcPr>
            <w:gridSpan w:val="2"/>
            <w:tcW w:w="4847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</w:p>
        </w:tc>
        <w:tc>
          <w:tcPr>
            <w:tcW w:w="1559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</w:p>
        </w:tc>
        <w:tc>
          <w:tcPr>
            <w:gridSpan w:val="3"/>
            <w:tcW w:w="2694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</w:p>
        </w:tc>
      </w:tr>
      <w:tr>
        <w:tc>
          <w:tcPr>
            <w:gridSpan w:val="2"/>
            <w:tcW w:w="648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4847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</w:tr>
    </w:tbl>
    <w:p>
      <w:pPr>
        <w:jc w:val="center"/>
        <w:rPr>
          <w:rFonts w:ascii="PT Astra Serif" w:hAnsi="PT Astra Serif"/>
        </w:rPr>
      </w:pPr>
    </w:p>
    <w:sectPr>
      <w:headerReference w:type="default" r:id="rId13"/>
      <w:pgSz w:w="11906" w:h="16838"/>
      <w:pgMar w:top="1134" w:right="567" w:bottom="1134" w:left="1701" w:header="709" w:footer="709" w:gutter="0"/>
      <w:pgNumType w:start="12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504966742"/>
      <w:rPr>
        <w:rFonts w:ascii="PT Astra Serif" w:hAnsi="PT Astra Serif"/>
        <w:sz w:val="26"/>
        <w:szCs w:val="26"/>
      </w:rPr>
    </w:sdt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  <pic:nvPr/>
                    </pic:nvPicPr>
                    <pic:blipFill>
                      <a:blip r:embed="rId1"/>
                      <a:srcRect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tabs>
        <w:tab w:val="center" w:pos="5102"/>
        <w:tab w:val="left" w:pos="5947"/>
      </w:tabs>
    </w:pPr>
    <w:r>
      <w:tab/>
    </w:r>
    <w:r>
      <w:tab/>
    </w:r>
    <w:r>
      <w:tab/>
    </w:r>
  </w:p>
  <w:p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614250773"/>
    </w:sdtPr>
    <w:sdtEndPr>
      <w:rPr>
        <w:rFonts w:ascii="PT Astra Serif" w:hAnsi="PT Astra Serif"/>
        <w:sz w:val="26"/>
        <w:szCs w:val="26"/>
      </w:rPr>
    </w:sdtEnd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12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</w:p>
  <w:p>
    <w:pPr>
      <w:pStyle w:val="a3"/>
      <w:jc w:val="center"/>
      <w:rPr>
        <w:rFonts w:ascii="PT Astra Serif" w:hAnsi="PT Astra Serif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multiLevelType w:val="hybridMultilevel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30" w:hanging="360"/>
      </w:pPr>
    </w:lvl>
    <w:lvl w:ilvl="2" w:tentative="1" w:tplc="0419001B">
      <w:start w:val="1"/>
      <w:numFmt w:val="lowerRoman"/>
      <w:lvlText w:val="%3."/>
      <w:lvlJc w:val="right"/>
      <w:pPr>
        <w:ind w:left="2150" w:hanging="180"/>
      </w:pPr>
    </w:lvl>
    <w:lvl w:ilvl="3" w:tentative="1" w:tplc="0419000F">
      <w:start w:val="1"/>
      <w:numFmt w:val="decimal"/>
      <w:lvlText w:val="%4."/>
      <w:lvlJc w:val="left"/>
      <w:pPr>
        <w:ind w:left="2870" w:hanging="360"/>
      </w:pPr>
    </w:lvl>
    <w:lvl w:ilvl="4" w:tentative="1" w:tplc="04190019">
      <w:start w:val="1"/>
      <w:numFmt w:val="lowerLetter"/>
      <w:lvlText w:val="%5."/>
      <w:lvlJc w:val="left"/>
      <w:pPr>
        <w:ind w:left="3590" w:hanging="360"/>
      </w:pPr>
    </w:lvl>
    <w:lvl w:ilvl="5" w:tentative="1" w:tplc="0419001B">
      <w:start w:val="1"/>
      <w:numFmt w:val="lowerRoman"/>
      <w:lvlText w:val="%6."/>
      <w:lvlJc w:val="right"/>
      <w:pPr>
        <w:ind w:left="4310" w:hanging="180"/>
      </w:pPr>
    </w:lvl>
    <w:lvl w:ilvl="6" w:tentative="1" w:tplc="0419000F">
      <w:start w:val="1"/>
      <w:numFmt w:val="decimal"/>
      <w:lvlText w:val="%7."/>
      <w:lvlJc w:val="left"/>
      <w:pPr>
        <w:ind w:left="5030" w:hanging="360"/>
      </w:pPr>
    </w:lvl>
    <w:lvl w:ilvl="7" w:tentative="1" w:tplc="04190019">
      <w:start w:val="1"/>
      <w:numFmt w:val="lowerLetter"/>
      <w:lvlText w:val="%8."/>
      <w:lvlJc w:val="left"/>
      <w:pPr>
        <w:ind w:left="5750" w:hanging="360"/>
      </w:pPr>
    </w:lvl>
    <w:lvl w:ilvl="8" w:tentative="1" w:tplc="0419001B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multiLevelType w:val="hybridMultilevel"/>
    <w:lvl w:ilvl="0" w:tplc="02FCCB08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 w:tplc="7CA0945E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1">
    <w:name w:val="heading 1"/>
    <w:basedOn w:val="a"/>
    <w:next w:val="a"/>
    <w:link w:val="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4" w:customStyle="1">
    <w:name w:val="Верхний колонтитул Знак"/>
    <w:basedOn w:val="a0"/>
    <w:link w:val="a3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rPr>
      <w:rFonts w:ascii="Calibri" w:hAnsi="Calibri" w:cs="Times New Roman"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styleId="a8" w:customStyle="1">
    <w:name w:val="Текст выноски Знак"/>
    <w:basedOn w:val="a0"/>
    <w:link w:val="a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ConsPlusNormal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a9">
    <w:name w:val="List Paragraph"/>
    <w:basedOn w:val="a"/>
    <w:qFormat/>
    <w:uiPriority w:val="34"/>
    <w:pPr>
      <w:contextualSpacing w:val="true"/>
      <w:ind w:left="720"/>
    </w:pPr>
  </w:style>
  <w:style w:type="character" w:styleId="aa">
    <w:name w:val="Placeholder Text"/>
    <w:basedOn w:val="a0"/>
    <w:uiPriority w:val="99"/>
    <w:semiHidden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Pr>
      <w:sz w:val="20"/>
      <w:szCs w:val="20"/>
    </w:rPr>
  </w:style>
  <w:style w:type="character" w:styleId="ac" w:customStyle="1">
    <w:name w:val="Текст концевой сноски Знак"/>
    <w:basedOn w:val="a0"/>
    <w:link w:val="ab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character" w:styleId="af" w:customStyle="1">
    <w:name w:val="Текст сноски Знак"/>
    <w:basedOn w:val="a0"/>
    <w:link w:val="ae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table" w:styleId="af1">
    <w:name w:val="Table Grid"/>
    <w:basedOn w:val="a1"/>
    <w:uiPriority w:val="59"/>
    <w:pPr>
      <w:spacing w:lineRule="auto" w:line="240" w:after="0"/>
    </w:pPr>
    <w:tblPr>
      <w:tblInd w:w="0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  <w:insideV w:val="single" w:sz="4" w:space="0" w:color="auto"/>
        <w:insideH w:val="single" w:sz="4" w:space="0" w:color="auto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blk" w:customStyle="1">
    <w:name w:val="blk"/>
    <w:basedOn w:val="a0"/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customXml" Target="../customXml/item1.xml" /><Relationship Id="rId15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6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7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8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9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0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1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2" Type="http://schemas.openxmlformats.org/officeDocument/2006/relationships/hyperlink" Target="consultantplus://offline/ref=8BF3C02650D204E211B97AD1DA8FA61A8B3B45E9256B8F286C2010AB146EB11E2A432581CF384F26E0BC6276F242BDEF5FA31EE13835E7B2A3050A40y8q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5D0A-449D-403F-91D4-977FC83E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25369</Characters>
  <CharactersWithSpaces>29760</CharactersWithSpaces>
  <Company/>
  <DocSecurity>0</DocSecurity>
  <HyperlinksChanged>false</HyperlinksChanged>
  <Lines>211</Lines>
  <LinksUpToDate>false</LinksUpToDate>
  <Pages>13</Pages>
  <Paragraphs>59</Paragraphs>
  <ScaleCrop>false</ScaleCrop>
  <SharedDoc>false</SharedDoc>
  <Template>Normal</Template>
  <TotalTime>15</TotalTime>
  <Words>4450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9</cp:revision>
  <cp:lastPrinted>2022-03-16T05:31:00Z</cp:lastPrinted>
  <dcterms:created xsi:type="dcterms:W3CDTF">2022-03-04T04:25:00Z</dcterms:created>
  <dcterms:modified xsi:type="dcterms:W3CDTF">2022-03-16T05:31:00Z</dcterms:modified>
</cp:coreProperties>
</file>