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833"/>
      </w:tblGrid>
      <w:tr>
        <w:trPr>
          <w:trHeight w:val="567"/>
        </w:trPr>
        <w:tc>
          <w:tcPr>
            <w:tcW w:w="3261" w:type="dxa"/>
            <w:vAlign w:val="center"/>
            <w:textDirection w:val="lrTb"/>
            <w:noWrap w:val="false"/>
          </w:tcPr>
          <w:p>
            <w:pPr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22.08.2022</w:t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</w:r>
            <w:r/>
          </w:p>
        </w:tc>
        <w:tc>
          <w:tcPr>
            <w:tcW w:w="2833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0119/01-07</w:t>
            </w:r>
            <w:r/>
          </w:p>
        </w:tc>
      </w:tr>
      <w:tr>
        <w:trPr>
          <w:trHeight w:val="364"/>
        </w:trPr>
        <w:tc>
          <w:tcPr>
            <w:gridSpan w:val="3"/>
            <w:tcW w:w="93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3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/>
            <w:bookmarkStart w:id="0" w:name="OLE_LINK7"/>
            <w:r/>
            <w:bookmarkStart w:id="1" w:name="OLE_LINK8"/>
            <w:r/>
            <w:bookmarkStart w:id="2" w:name="OLE_LINK16"/>
            <w:r/>
            <w:bookmarkStart w:id="3" w:name="OLE_LINK17"/>
            <w:r/>
            <w:bookmarkStart w:id="4" w:name="OLE_LINK18"/>
            <w:r/>
            <w:bookmarkStart w:id="5" w:name="OLE_LINK19"/>
            <w:r/>
            <w:bookmarkStart w:id="6" w:name="OLE_LINK20"/>
            <w:r/>
            <w:bookmarkStart w:id="7" w:name="OLE_LINK21"/>
            <w:r/>
            <w:bookmarkStart w:id="8" w:name="OLE_LINK3"/>
            <w:r/>
            <w:bookmarkStart w:id="9" w:name="OLE_LINK4"/>
            <w:r/>
            <w:bookmarkStart w:id="10" w:name="OLE_LINK103"/>
            <w:r/>
            <w:bookmarkStart w:id="11" w:name="OLE_LINK104"/>
            <w:r/>
            <w:bookmarkStart w:id="12" w:name="OLE_LINK105"/>
            <w:r/>
            <w:bookmarkStart w:id="13" w:name="OLE_LINK106"/>
            <w:r/>
            <w:bookmarkStart w:id="14" w:name="OLE_LINK107"/>
            <w:r/>
            <w:bookmarkStart w:id="15" w:name="OLE_LINK108"/>
            <w:r/>
            <w:bookmarkStart w:id="16" w:name="OLE_LINK109"/>
            <w:r/>
            <w:bookmarkStart w:id="17" w:name="OLE_LINK110"/>
            <w:r/>
            <w:bookmarkStart w:id="18" w:name="OLE_LINK111"/>
            <w:r/>
            <w:bookmarkStart w:id="19" w:name="OLE_LINK112"/>
            <w:r/>
            <w:bookmarkStart w:id="20" w:name="OLE_LINK113"/>
            <w:r/>
            <w:bookmarkStart w:id="21" w:name="OLE_LINK114"/>
            <w:r/>
            <w:bookmarkStart w:id="22" w:name="OLE_LINK115"/>
            <w:r/>
            <w:bookmarkStart w:id="23" w:name="OLE_LINK116"/>
            <w:r/>
            <w:bookmarkStart w:id="24" w:name="OLE_LINK22"/>
            <w:r/>
            <w:bookmarkStart w:id="25" w:name="OLE_LINK23"/>
            <w:r/>
            <w:bookmarkStart w:id="26" w:name="OLE_LINK24"/>
            <w:r/>
            <w:bookmarkStart w:id="27" w:name="OLE_LINK25"/>
            <w:r/>
            <w:bookmarkStart w:id="28" w:name="OLE_LINK26"/>
            <w:r/>
            <w:bookmarkStart w:id="29" w:name="OLE_LINK27"/>
            <w:r/>
            <w:bookmarkStart w:id="30" w:name="OLE_LINK28"/>
            <w:r/>
            <w:bookmarkStart w:id="31" w:name="OLE_LINK29"/>
            <w:r/>
            <w:bookmarkStart w:id="32" w:name="OLE_LINK30"/>
            <w:r/>
            <w:bookmarkStart w:id="33" w:name="OLE_LINK31"/>
            <w:r/>
            <w:bookmarkStart w:id="34" w:name="OLE_LINK32"/>
            <w:r/>
            <w:bookmarkStart w:id="35" w:name="OLE_LINK33"/>
            <w:r/>
            <w:bookmarkStart w:id="36" w:name="OLE_LINK34"/>
            <w:r/>
            <w:bookmarkStart w:id="37" w:name="OLE_LINK35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 внесении изменений в приказ Комитета по охране объектов культурног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 н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аследия Томской области от 13.11.2020 № 0148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/01-07</w:t>
            </w:r>
            <w:bookmarkEnd w:id="0"/>
            <w:r/>
            <w:bookmarkEnd w:id="1"/>
            <w:r/>
            <w:bookmarkEnd w:id="2"/>
            <w:r/>
            <w:bookmarkEnd w:id="3"/>
            <w:r/>
            <w:bookmarkEnd w:id="4"/>
            <w:r/>
            <w:bookmarkEnd w:id="5"/>
            <w:r/>
            <w:bookmarkEnd w:id="6"/>
            <w:r/>
            <w:bookmarkEnd w:id="7"/>
            <w:r/>
            <w:bookmarkEnd w:id="8"/>
            <w:r/>
            <w:bookmarkEnd w:id="9"/>
            <w:r/>
            <w:bookmarkEnd w:id="10"/>
            <w:r/>
            <w:bookmarkEnd w:id="11"/>
            <w:r/>
            <w:bookmarkEnd w:id="12"/>
            <w:r/>
            <w:bookmarkEnd w:id="13"/>
            <w:r/>
            <w:bookmarkEnd w:id="14"/>
            <w:r/>
            <w:bookmarkEnd w:id="15"/>
            <w:r/>
            <w:bookmarkEnd w:id="16"/>
            <w:r/>
            <w:bookmarkEnd w:id="17"/>
            <w:r/>
            <w:bookmarkEnd w:id="18"/>
            <w:r/>
            <w:bookmarkEnd w:id="19"/>
            <w:r/>
            <w:bookmarkEnd w:id="20"/>
            <w:r/>
            <w:bookmarkEnd w:id="21"/>
            <w:r/>
            <w:bookmarkEnd w:id="22"/>
            <w:r/>
            <w:bookmarkEnd w:id="23"/>
            <w:r/>
            <w:bookmarkEnd w:id="24"/>
            <w:r/>
            <w:bookmarkEnd w:id="25"/>
            <w:r/>
            <w:bookmarkEnd w:id="26"/>
            <w:r/>
            <w:bookmarkEnd w:id="27"/>
            <w:r/>
            <w:bookmarkEnd w:id="28"/>
            <w:r/>
            <w:bookmarkEnd w:id="29"/>
            <w:r/>
            <w:bookmarkEnd w:id="30"/>
            <w:r/>
            <w:bookmarkEnd w:id="31"/>
            <w:r/>
            <w:bookmarkEnd w:id="32"/>
            <w:r/>
            <w:bookmarkEnd w:id="33"/>
            <w:r/>
            <w:bookmarkEnd w:id="34"/>
            <w:r/>
            <w:bookmarkEnd w:id="35"/>
            <w:r/>
            <w:bookmarkEnd w:id="36"/>
            <w:r/>
            <w:bookmarkEnd w:id="37"/>
            <w:r/>
            <w:r/>
          </w:p>
        </w:tc>
      </w:tr>
    </w:tbl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737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Style w:val="736"/>
          <w:rFonts w:ascii="PT Astra Serif" w:hAnsi="PT Astra Serif"/>
          <w:b w:val="false"/>
          <w:sz w:val="26"/>
          <w:szCs w:val="26"/>
        </w:rPr>
        <w:t xml:space="preserve">В целях совершенствова</w:t>
      </w:r>
      <w:r>
        <w:rPr>
          <w:rStyle w:val="736"/>
          <w:rFonts w:ascii="PT Astra Serif" w:hAnsi="PT Astra Serif"/>
          <w:b w:val="false"/>
          <w:sz w:val="26"/>
          <w:szCs w:val="26"/>
        </w:rPr>
        <w:t xml:space="preserve">ния нормативного правового акта</w:t>
      </w:r>
      <w:r/>
    </w:p>
    <w:p>
      <w:pPr>
        <w:pStyle w:val="73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r/>
    </w:p>
    <w:p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приказ Комитета по охране объектов культурного наследия Томской области </w:t>
      </w:r>
      <w:r>
        <w:rPr>
          <w:rFonts w:ascii="PT Astra Serif" w:hAnsi="PT Astra Serif"/>
          <w:bCs/>
          <w:sz w:val="26"/>
          <w:szCs w:val="26"/>
        </w:rPr>
        <w:t xml:space="preserve">от 13.11.2020 № 0148</w:t>
      </w:r>
      <w:r>
        <w:rPr>
          <w:rFonts w:ascii="PT Astra Serif" w:hAnsi="PT Astra Serif"/>
          <w:bCs/>
          <w:sz w:val="26"/>
          <w:szCs w:val="26"/>
        </w:rPr>
        <w:t xml:space="preserve">/01-07 «Об утверждении границ и режима использования территории объекта культурного наследия федерального значения «</w:t>
      </w:r>
      <w:r>
        <w:rPr>
          <w:rFonts w:ascii="PT Astra Serif" w:hAnsi="PT Astra Serif"/>
          <w:bCs/>
          <w:sz w:val="26"/>
          <w:szCs w:val="26"/>
        </w:rPr>
        <w:t xml:space="preserve">Поселение </w:t>
      </w:r>
      <w:r>
        <w:rPr>
          <w:rFonts w:ascii="PT Astra Serif" w:hAnsi="PT Astra Serif"/>
          <w:bCs/>
          <w:sz w:val="26"/>
          <w:szCs w:val="26"/>
        </w:rPr>
        <w:t xml:space="preserve">Сохта</w:t>
      </w:r>
      <w:r>
        <w:rPr>
          <w:rFonts w:ascii="PT Astra Serif" w:hAnsi="PT Astra Serif"/>
          <w:bCs/>
          <w:sz w:val="26"/>
          <w:szCs w:val="26"/>
        </w:rPr>
        <w:t xml:space="preserve"> I</w:t>
      </w:r>
      <w:r>
        <w:rPr>
          <w:rFonts w:ascii="PT Astra Serif" w:hAnsi="PT Astra Serif"/>
          <w:bCs/>
          <w:sz w:val="26"/>
          <w:szCs w:val="26"/>
        </w:rPr>
        <w:t xml:space="preserve">I»</w:t>
      </w:r>
      <w:r>
        <w:rPr>
          <w:rFonts w:ascii="PT Astra Serif" w:hAnsi="PT Astra Serif"/>
          <w:bCs/>
          <w:sz w:val="26"/>
          <w:szCs w:val="26"/>
        </w:rPr>
        <w:t xml:space="preserve"> (</w:t>
      </w:r>
      <w:r>
        <w:rPr>
          <w:rFonts w:ascii="PT Astra Serif" w:hAnsi="PT Astra Serif"/>
          <w:bCs/>
          <w:sz w:val="26"/>
          <w:szCs w:val="26"/>
        </w:rPr>
        <w:t xml:space="preserve">Официальный интернет-портал правовой ин</w:t>
      </w:r>
      <w:r>
        <w:rPr>
          <w:rFonts w:ascii="PT Astra Serif" w:hAnsi="PT Astra Serif"/>
          <w:bCs/>
          <w:sz w:val="26"/>
          <w:szCs w:val="26"/>
        </w:rPr>
        <w:t xml:space="preserve">формации http:www.pravo.gov.ru, 20.11.2020</w:t>
      </w:r>
      <w:r>
        <w:rPr>
          <w:rFonts w:ascii="PT Astra Serif" w:hAnsi="PT Astra Serif"/>
          <w:bCs/>
          <w:sz w:val="26"/>
          <w:szCs w:val="26"/>
        </w:rPr>
        <w:t xml:space="preserve">, № 7001202011200029</w:t>
      </w:r>
      <w:r>
        <w:rPr>
          <w:rFonts w:ascii="PT Astra Serif" w:hAnsi="PT Astra Serif"/>
          <w:bCs/>
          <w:sz w:val="26"/>
          <w:szCs w:val="26"/>
        </w:rPr>
        <w:t xml:space="preserve">) внести следующие изменения: </w:t>
      </w:r>
      <w:r/>
    </w:p>
    <w:p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заголовке настоящего приказа слова «</w:t>
      </w:r>
      <w:r>
        <w:rPr>
          <w:rFonts w:ascii="PT Astra Serif" w:hAnsi="PT Astra Serif"/>
          <w:bCs/>
          <w:sz w:val="26"/>
          <w:szCs w:val="26"/>
        </w:rPr>
        <w:t xml:space="preserve">Поселение </w:t>
      </w:r>
      <w:r>
        <w:rPr>
          <w:rFonts w:ascii="PT Astra Serif" w:hAnsi="PT Astra Serif"/>
          <w:bCs/>
          <w:sz w:val="26"/>
          <w:szCs w:val="26"/>
        </w:rPr>
        <w:t xml:space="preserve">Сохта</w:t>
      </w:r>
      <w:r>
        <w:rPr>
          <w:rFonts w:ascii="PT Astra Serif" w:hAnsi="PT Astra Serif"/>
          <w:bCs/>
          <w:sz w:val="26"/>
          <w:szCs w:val="26"/>
        </w:rPr>
        <w:t xml:space="preserve"> II</w:t>
      </w:r>
      <w:r>
        <w:rPr>
          <w:rFonts w:ascii="PT Astra Serif" w:hAnsi="PT Astra Serif"/>
          <w:bCs/>
          <w:sz w:val="26"/>
          <w:szCs w:val="26"/>
        </w:rPr>
        <w:t xml:space="preserve">» заменить словами «</w:t>
      </w:r>
      <w:r>
        <w:rPr>
          <w:rFonts w:ascii="PT Astra Serif" w:hAnsi="PT Astra Serif"/>
          <w:bCs/>
          <w:sz w:val="26"/>
          <w:szCs w:val="26"/>
        </w:rPr>
        <w:t xml:space="preserve">Поселение </w:t>
      </w:r>
      <w:r>
        <w:rPr>
          <w:rFonts w:ascii="PT Astra Serif" w:hAnsi="PT Astra Serif"/>
          <w:bCs/>
          <w:sz w:val="26"/>
          <w:szCs w:val="26"/>
        </w:rPr>
        <w:t xml:space="preserve">Сохта</w:t>
      </w:r>
      <w:r>
        <w:rPr>
          <w:rFonts w:ascii="PT Astra Serif" w:hAnsi="PT Astra Serif"/>
          <w:bCs/>
          <w:sz w:val="26"/>
          <w:szCs w:val="26"/>
        </w:rPr>
        <w:t xml:space="preserve">-</w:t>
      </w:r>
      <w:r>
        <w:rPr>
          <w:rFonts w:ascii="PT Astra Serif" w:hAnsi="PT Astra Serif"/>
          <w:bCs/>
          <w:sz w:val="26"/>
          <w:szCs w:val="26"/>
        </w:rPr>
        <w:t xml:space="preserve">II</w:t>
      </w:r>
      <w:r>
        <w:rPr>
          <w:rFonts w:ascii="PT Astra Serif" w:hAnsi="PT Astra Serif"/>
          <w:bCs/>
          <w:sz w:val="26"/>
          <w:szCs w:val="26"/>
        </w:rPr>
        <w:t xml:space="preserve">»; </w:t>
      </w:r>
      <w:r/>
    </w:p>
    <w:p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пункте 1 настоящего приказа слова </w:t>
      </w:r>
      <w:r>
        <w:rPr>
          <w:rFonts w:ascii="PT Astra Serif" w:hAnsi="PT Astra Serif"/>
          <w:bCs/>
          <w:sz w:val="26"/>
          <w:szCs w:val="26"/>
        </w:rPr>
        <w:t xml:space="preserve">«Поселение </w:t>
      </w:r>
      <w:r>
        <w:rPr>
          <w:rFonts w:ascii="PT Astra Serif" w:hAnsi="PT Astra Serif"/>
          <w:bCs/>
          <w:sz w:val="26"/>
          <w:szCs w:val="26"/>
        </w:rPr>
        <w:t xml:space="preserve">Сохта</w:t>
      </w:r>
      <w:r>
        <w:rPr>
          <w:rFonts w:ascii="PT Astra Serif" w:hAnsi="PT Astra Serif"/>
          <w:bCs/>
          <w:sz w:val="26"/>
          <w:szCs w:val="26"/>
        </w:rPr>
        <w:t xml:space="preserve"> II» заменить словами «Поселение </w:t>
      </w:r>
      <w:r>
        <w:rPr>
          <w:rFonts w:ascii="PT Astra Serif" w:hAnsi="PT Astra Serif"/>
          <w:bCs/>
          <w:sz w:val="26"/>
          <w:szCs w:val="26"/>
        </w:rPr>
        <w:t xml:space="preserve">Сохта</w:t>
      </w:r>
      <w:r>
        <w:rPr>
          <w:rFonts w:ascii="PT Astra Serif" w:hAnsi="PT Astra Serif"/>
          <w:bCs/>
          <w:sz w:val="26"/>
          <w:szCs w:val="26"/>
        </w:rPr>
        <w:t xml:space="preserve">-</w:t>
      </w:r>
      <w:r>
        <w:rPr>
          <w:rFonts w:ascii="PT Astra Serif" w:hAnsi="PT Astra Serif"/>
          <w:bCs/>
          <w:sz w:val="26"/>
          <w:szCs w:val="26"/>
        </w:rPr>
        <w:t xml:space="preserve">II</w:t>
      </w:r>
      <w:r>
        <w:rPr>
          <w:rFonts w:ascii="PT Astra Serif" w:hAnsi="PT Astra Serif"/>
          <w:bCs/>
          <w:sz w:val="26"/>
          <w:szCs w:val="26"/>
        </w:rPr>
        <w:t xml:space="preserve">»</w:t>
      </w:r>
      <w:r>
        <w:rPr>
          <w:rFonts w:ascii="PT Astra Serif" w:hAnsi="PT Astra Serif"/>
          <w:bCs/>
          <w:sz w:val="26"/>
          <w:szCs w:val="26"/>
        </w:rPr>
        <w:t xml:space="preserve">; </w:t>
      </w:r>
      <w:r/>
    </w:p>
    <w:p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пункте 2 настоящего приказа слова </w:t>
      </w:r>
      <w:r>
        <w:rPr>
          <w:rFonts w:ascii="PT Astra Serif" w:hAnsi="PT Astra Serif"/>
          <w:bCs/>
          <w:sz w:val="26"/>
          <w:szCs w:val="26"/>
        </w:rPr>
        <w:t xml:space="preserve">«Поселение </w:t>
      </w:r>
      <w:r>
        <w:rPr>
          <w:rFonts w:ascii="PT Astra Serif" w:hAnsi="PT Astra Serif"/>
          <w:bCs/>
          <w:sz w:val="26"/>
          <w:szCs w:val="26"/>
        </w:rPr>
        <w:t xml:space="preserve">Сохта</w:t>
      </w:r>
      <w:r>
        <w:rPr>
          <w:rFonts w:ascii="PT Astra Serif" w:hAnsi="PT Astra Serif"/>
          <w:bCs/>
          <w:sz w:val="26"/>
          <w:szCs w:val="26"/>
        </w:rPr>
        <w:t xml:space="preserve"> II» заменить словами «Поселение </w:t>
      </w:r>
      <w:r>
        <w:rPr>
          <w:rFonts w:ascii="PT Astra Serif" w:hAnsi="PT Astra Serif"/>
          <w:bCs/>
          <w:sz w:val="26"/>
          <w:szCs w:val="26"/>
        </w:rPr>
        <w:t xml:space="preserve">Сохта</w:t>
      </w:r>
      <w:r>
        <w:rPr>
          <w:rFonts w:ascii="PT Astra Serif" w:hAnsi="PT Astra Serif"/>
          <w:bCs/>
          <w:sz w:val="26"/>
          <w:szCs w:val="26"/>
        </w:rPr>
        <w:t xml:space="preserve">-</w:t>
      </w:r>
      <w:r>
        <w:rPr>
          <w:rFonts w:ascii="PT Astra Serif" w:hAnsi="PT Astra Serif"/>
          <w:bCs/>
          <w:sz w:val="26"/>
          <w:szCs w:val="26"/>
        </w:rPr>
        <w:t xml:space="preserve">II</w:t>
      </w:r>
      <w:r>
        <w:rPr>
          <w:rFonts w:ascii="PT Astra Serif" w:hAnsi="PT Astra Serif"/>
          <w:bCs/>
          <w:sz w:val="26"/>
          <w:szCs w:val="26"/>
        </w:rPr>
        <w:t xml:space="preserve">»</w:t>
      </w:r>
      <w:r>
        <w:rPr>
          <w:rFonts w:ascii="PT Astra Serif" w:hAnsi="PT Astra Serif"/>
          <w:bCs/>
          <w:sz w:val="26"/>
          <w:szCs w:val="26"/>
        </w:rPr>
        <w:t xml:space="preserve">; </w:t>
      </w:r>
      <w:r/>
    </w:p>
    <w:p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пункте 1 приложения к настоящему приказу слова </w:t>
      </w:r>
      <w:r>
        <w:rPr>
          <w:rFonts w:ascii="PT Astra Serif" w:hAnsi="PT Astra Serif"/>
          <w:bCs/>
          <w:sz w:val="26"/>
          <w:szCs w:val="26"/>
        </w:rPr>
        <w:t xml:space="preserve">«Поселение </w:t>
      </w:r>
      <w:r>
        <w:rPr>
          <w:rFonts w:ascii="PT Astra Serif" w:hAnsi="PT Astra Serif"/>
          <w:bCs/>
          <w:sz w:val="26"/>
          <w:szCs w:val="26"/>
        </w:rPr>
        <w:t xml:space="preserve">Сохта</w:t>
      </w:r>
      <w:r>
        <w:rPr>
          <w:rFonts w:ascii="PT Astra Serif" w:hAnsi="PT Astra Serif"/>
          <w:bCs/>
          <w:sz w:val="26"/>
          <w:szCs w:val="26"/>
        </w:rPr>
        <w:t xml:space="preserve"> II» заменить словами «Поселение </w:t>
      </w:r>
      <w:r>
        <w:rPr>
          <w:rFonts w:ascii="PT Astra Serif" w:hAnsi="PT Astra Serif"/>
          <w:bCs/>
          <w:sz w:val="26"/>
          <w:szCs w:val="26"/>
        </w:rPr>
        <w:t xml:space="preserve">Сохта</w:t>
      </w:r>
      <w:r>
        <w:rPr>
          <w:rFonts w:ascii="PT Astra Serif" w:hAnsi="PT Astra Serif"/>
          <w:bCs/>
          <w:sz w:val="26"/>
          <w:szCs w:val="26"/>
        </w:rPr>
        <w:t xml:space="preserve">-</w:t>
      </w:r>
      <w:r>
        <w:rPr>
          <w:rFonts w:ascii="PT Astra Serif" w:hAnsi="PT Astra Serif"/>
          <w:bCs/>
          <w:sz w:val="26"/>
          <w:szCs w:val="26"/>
        </w:rPr>
        <w:t xml:space="preserve">II</w:t>
      </w:r>
      <w:r>
        <w:rPr>
          <w:rFonts w:ascii="PT Astra Serif" w:hAnsi="PT Astra Serif"/>
          <w:bCs/>
          <w:sz w:val="26"/>
          <w:szCs w:val="26"/>
        </w:rPr>
        <w:t xml:space="preserve">»</w:t>
      </w:r>
      <w:r>
        <w:rPr>
          <w:rFonts w:ascii="PT Astra Serif" w:hAnsi="PT Astra Serif"/>
          <w:bCs/>
          <w:sz w:val="26"/>
          <w:szCs w:val="26"/>
        </w:rPr>
        <w:t xml:space="preserve">; </w:t>
      </w:r>
      <w:r/>
    </w:p>
    <w:p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пункте 2 приложения к настоящему приказа слова </w:t>
      </w:r>
      <w:r>
        <w:rPr>
          <w:rFonts w:ascii="PT Astra Serif" w:hAnsi="PT Astra Serif"/>
          <w:bCs/>
          <w:sz w:val="26"/>
          <w:szCs w:val="26"/>
        </w:rPr>
        <w:t xml:space="preserve">«Поселение </w:t>
      </w:r>
      <w:r>
        <w:rPr>
          <w:rFonts w:ascii="PT Astra Serif" w:hAnsi="PT Astra Serif"/>
          <w:bCs/>
          <w:sz w:val="26"/>
          <w:szCs w:val="26"/>
        </w:rPr>
        <w:t xml:space="preserve">Сохта</w:t>
      </w:r>
      <w:r>
        <w:rPr>
          <w:rFonts w:ascii="PT Astra Serif" w:hAnsi="PT Astra Serif"/>
          <w:bCs/>
          <w:sz w:val="26"/>
          <w:szCs w:val="26"/>
        </w:rPr>
        <w:t xml:space="preserve"> II» заменить словами «Поселение </w:t>
      </w:r>
      <w:r>
        <w:rPr>
          <w:rFonts w:ascii="PT Astra Serif" w:hAnsi="PT Astra Serif"/>
          <w:bCs/>
          <w:sz w:val="26"/>
          <w:szCs w:val="26"/>
        </w:rPr>
        <w:t xml:space="preserve">Сохта</w:t>
      </w:r>
      <w:r>
        <w:rPr>
          <w:rFonts w:ascii="PT Astra Serif" w:hAnsi="PT Astra Serif"/>
          <w:bCs/>
          <w:sz w:val="26"/>
          <w:szCs w:val="26"/>
        </w:rPr>
        <w:t xml:space="preserve">-</w:t>
      </w:r>
      <w:r>
        <w:rPr>
          <w:rFonts w:ascii="PT Astra Serif" w:hAnsi="PT Astra Serif"/>
          <w:bCs/>
          <w:sz w:val="26"/>
          <w:szCs w:val="26"/>
        </w:rPr>
        <w:t xml:space="preserve">II</w:t>
      </w:r>
      <w:r>
        <w:rPr>
          <w:rFonts w:ascii="PT Astra Serif" w:hAnsi="PT Astra Serif"/>
          <w:bCs/>
          <w:sz w:val="26"/>
          <w:szCs w:val="26"/>
        </w:rPr>
        <w:t xml:space="preserve">»</w:t>
      </w:r>
      <w:r>
        <w:rPr>
          <w:rFonts w:ascii="PT Astra Serif" w:hAnsi="PT Astra Serif"/>
          <w:bCs/>
          <w:sz w:val="26"/>
          <w:szCs w:val="26"/>
        </w:rPr>
        <w:t xml:space="preserve">.</w:t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/>
      <w:bookmarkStart w:id="38" w:name="_GoBack"/>
      <w:r/>
      <w:bookmarkEnd w:id="38"/>
      <w:r/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bidi="ar-SA" w:eastAsia="ru-RU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spacing w:lineRule="auto" w:line="276" w:after="200"/>
        <w:rPr>
          <w:rFonts w:ascii="PT Astra Serif" w:hAnsi="PT Astra Serif"/>
          <w:sz w:val="24"/>
          <w:szCs w:val="24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4"/>
          <w:szCs w:val="24"/>
        </w:rPr>
      </w:r>
      <w:r/>
    </w:p>
    <w:sectPr>
      <w:headerReference w:type="default" r:id="rId9"/>
      <w:headerReference w:type="even" r:id="rId10"/>
      <w:footerReference w:type="even" r:id="rId11"/>
      <w:footnotePr/>
      <w:endnotePr/>
      <w:type w:val="nextPage"/>
      <w:pgSz w:w="11906" w:h="16838" w:orient="portrait"/>
      <w:pgMar w:top="851" w:right="851" w:bottom="851" w:left="1701" w:header="561" w:footer="737" w:gutter="0"/>
      <w:pgNumType w:start="2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</w:pPr>
    <w: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1"/>
      <w:jc w:val="left"/>
      <w:rPr>
        <w:b w:val="false"/>
      </w:rPr>
    </w:pPr>
    <w:r>
      <w:rPr>
        <w:b w:val="false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/>
        <w:b/>
        <w:lang w:val="en-US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7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spacing w:lineRule="exact" w:line="360"/>
      <w:tabs>
        <w:tab w:val="center" w:pos="4153" w:leader="none"/>
        <w:tab w:val="right" w:pos="8306" w:leader="none"/>
      </w:tabs>
      <w:rPr>
        <w:rFonts w:ascii="PT Astra Serif" w:hAnsi="PT Astra Serif"/>
        <w:b/>
        <w:caps/>
        <w:sz w:val="30"/>
        <w:szCs w:val="30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b/>
        <w:caps/>
        <w:sz w:val="30"/>
        <w:szCs w:val="30"/>
      </w:rPr>
      <w:t xml:space="preserve">КОМИТЕТ ПО ОХРАНЕ ОБЪЕКТОВ КУЛЬТУРНОГО НАСЛЕДИЯ ТОМСКОЙ ОБЛАСТИ</w:t>
    </w:r>
    <w:r/>
  </w:p>
  <w:p>
    <w:pPr>
      <w:jc w:val="center"/>
      <w:spacing w:before="240"/>
      <w:tabs>
        <w:tab w:val="center" w:pos="4153" w:leader="none"/>
        <w:tab w:val="right" w:pos="8306" w:leader="none"/>
      </w:tabs>
      <w:rPr>
        <w:rFonts w:ascii="PT Astra Serif" w:hAnsi="PT Astra Serif"/>
        <w:b/>
        <w:caps/>
        <w:sz w:val="28"/>
        <w:szCs w:val="28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b/>
        <w:caps/>
        <w:spacing w:val="20"/>
        <w:sz w:val="28"/>
        <w:szCs w:val="28"/>
      </w:rPr>
      <w:t xml:space="preserve">ПРИКАЗ</w:t>
    </w:r>
    <w:r/>
  </w:p>
  <w:p>
    <w:pPr>
      <w:pStyle w:val="721"/>
      <w:jc w:val="left"/>
      <w:rPr>
        <w:lang w:val="ru-RU"/>
      </w:rPr>
    </w:pPr>
    <w:r>
      <w:rPr>
        <w:lang w:val="ru-RU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87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03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19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pacing w:val="-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9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386" w:hanging="9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12" w:hanging="96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8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3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num w:numId="1">
    <w:abstractNumId w:val="9"/>
  </w:num>
  <w:num w:numId="2">
    <w:abstractNumId w:val="14"/>
  </w:num>
  <w:num w:numId="3">
    <w:abstractNumId w:val="2"/>
  </w:num>
  <w:num w:numId="4">
    <w:abstractNumId w:val="5"/>
  </w:num>
  <w:num w:numId="5">
    <w:abstractNumId w:val="11"/>
  </w:num>
  <w:num w:numId="6">
    <w:abstractNumId w:val="12"/>
  </w:num>
  <w:num w:numId="7">
    <w:abstractNumId w:val="4"/>
  </w:num>
  <w:num w:numId="8">
    <w:abstractNumId w:val="8"/>
  </w:num>
  <w:num w:numId="9">
    <w:abstractNumId w:val="1"/>
  </w:num>
  <w:num w:numId="10">
    <w:abstractNumId w:val="0"/>
  </w:num>
  <w:num w:numId="11">
    <w:abstractNumId w:val="10"/>
  </w:num>
  <w:num w:numId="12">
    <w:abstractNumId w:val="13"/>
  </w:num>
  <w:num w:numId="13">
    <w:abstractNumId w:val="6"/>
  </w:num>
  <w:num w:numId="14">
    <w:abstractNumId w:val="3"/>
  </w:num>
  <w:num w:numId="15">
    <w:abstractNumId w:val="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17"/>
    <w:next w:val="717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718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17"/>
    <w:next w:val="717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18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17"/>
    <w:next w:val="717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18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17"/>
    <w:next w:val="717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18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17"/>
    <w:next w:val="717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18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17"/>
    <w:next w:val="717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18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17"/>
    <w:next w:val="7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18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17"/>
    <w:next w:val="7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18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17"/>
    <w:next w:val="7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18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717"/>
    <w:next w:val="7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18"/>
    <w:link w:val="32"/>
    <w:uiPriority w:val="10"/>
    <w:rPr>
      <w:sz w:val="48"/>
      <w:szCs w:val="48"/>
    </w:rPr>
  </w:style>
  <w:style w:type="paragraph" w:styleId="34">
    <w:name w:val="Subtitle"/>
    <w:basedOn w:val="717"/>
    <w:next w:val="7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18"/>
    <w:link w:val="34"/>
    <w:uiPriority w:val="11"/>
    <w:rPr>
      <w:sz w:val="24"/>
      <w:szCs w:val="24"/>
    </w:rPr>
  </w:style>
  <w:style w:type="paragraph" w:styleId="36">
    <w:name w:val="Quote"/>
    <w:basedOn w:val="717"/>
    <w:next w:val="7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17"/>
    <w:next w:val="7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18"/>
    <w:link w:val="721"/>
    <w:uiPriority w:val="99"/>
  </w:style>
  <w:style w:type="character" w:styleId="43">
    <w:name w:val="Footer Char"/>
    <w:basedOn w:val="718"/>
    <w:link w:val="725"/>
    <w:uiPriority w:val="99"/>
  </w:style>
  <w:style w:type="paragraph" w:styleId="44">
    <w:name w:val="Caption"/>
    <w:basedOn w:val="717"/>
    <w:next w:val="7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25"/>
    <w:uiPriority w:val="99"/>
  </w:style>
  <w:style w:type="table" w:styleId="47">
    <w:name w:val="Table Grid Light"/>
    <w:basedOn w:val="71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1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19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1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1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1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1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1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1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1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1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1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1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1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1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1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1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1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1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1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1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1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1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1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1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character" w:styleId="174">
    <w:name w:val="Footnote Text Char"/>
    <w:link w:val="731"/>
    <w:uiPriority w:val="99"/>
    <w:rPr>
      <w:sz w:val="18"/>
    </w:rPr>
  </w:style>
  <w:style w:type="paragraph" w:styleId="176">
    <w:name w:val="endnote text"/>
    <w:basedOn w:val="7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18"/>
    <w:uiPriority w:val="99"/>
    <w:semiHidden/>
    <w:unhideWhenUsed/>
    <w:rPr>
      <w:vertAlign w:val="superscript"/>
    </w:rPr>
  </w:style>
  <w:style w:type="paragraph" w:styleId="179">
    <w:name w:val="toc 1"/>
    <w:basedOn w:val="717"/>
    <w:next w:val="7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17"/>
    <w:next w:val="7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17"/>
    <w:next w:val="7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17"/>
    <w:next w:val="7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17"/>
    <w:next w:val="7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17"/>
    <w:next w:val="7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17"/>
    <w:next w:val="7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17"/>
    <w:next w:val="7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17"/>
    <w:next w:val="7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17"/>
    <w:next w:val="717"/>
    <w:uiPriority w:val="99"/>
    <w:unhideWhenUsed/>
    <w:pPr>
      <w:spacing w:after="0" w:afterAutospacing="0"/>
    </w:pPr>
  </w:style>
  <w:style w:type="paragraph" w:styleId="717" w:default="1">
    <w:name w:val="Normal"/>
    <w:qFormat/>
    <w:rPr>
      <w:rFonts w:ascii="Times New Roman" w:hAnsi="Times New Roman" w:cs="Times New Roman" w:eastAsia="Times New Roman"/>
      <w:sz w:val="20"/>
      <w:lang w:bidi="en-US"/>
    </w:rPr>
    <w:pPr>
      <w:spacing w:lineRule="auto" w:line="240" w:after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718" w:default="1">
    <w:name w:val="Default Paragraph Font"/>
    <w:uiPriority w:val="1"/>
    <w:semiHidden/>
    <w:unhideWhenUsed/>
  </w:style>
  <w:style w:type="table" w:styleId="7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0" w:default="1">
    <w:name w:val="No List"/>
    <w:uiPriority w:val="99"/>
    <w:semiHidden/>
    <w:unhideWhenUsed/>
  </w:style>
  <w:style w:type="paragraph" w:styleId="721">
    <w:name w:val="Header"/>
    <w:basedOn w:val="717"/>
    <w:link w:val="722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722" w:customStyle="1">
    <w:name w:val="Верхний колонтитул Знак"/>
    <w:basedOn w:val="718"/>
    <w:link w:val="721"/>
    <w:uiPriority w:val="99"/>
    <w:rPr>
      <w:rFonts w:ascii="Times New Roman" w:hAnsi="Times New Roman" w:cs="Times New Roman" w:eastAsia="Times New Roman"/>
      <w:b/>
      <w:caps/>
      <w:sz w:val="28"/>
      <w:lang w:val="en-US" w:bidi="en-US"/>
    </w:rPr>
  </w:style>
  <w:style w:type="paragraph" w:styleId="723">
    <w:name w:val="Balloon Text"/>
    <w:basedOn w:val="717"/>
    <w:link w:val="724"/>
    <w:uiPriority w:val="99"/>
    <w:semiHidden/>
    <w:unhideWhenUsed/>
    <w:rPr>
      <w:rFonts w:ascii="Tahoma" w:hAnsi="Tahoma" w:cs="Tahoma"/>
      <w:sz w:val="16"/>
      <w:szCs w:val="16"/>
    </w:rPr>
  </w:style>
  <w:style w:type="character" w:styleId="724" w:customStyle="1">
    <w:name w:val="Текст выноски Знак"/>
    <w:basedOn w:val="718"/>
    <w:link w:val="723"/>
    <w:uiPriority w:val="99"/>
    <w:semiHidden/>
    <w:rPr>
      <w:rFonts w:ascii="Tahoma" w:hAnsi="Tahoma" w:cs="Tahoma" w:eastAsia="Times New Roman"/>
      <w:sz w:val="16"/>
      <w:szCs w:val="16"/>
      <w:lang w:bidi="en-US"/>
    </w:rPr>
  </w:style>
  <w:style w:type="paragraph" w:styleId="725">
    <w:name w:val="Footer"/>
    <w:basedOn w:val="717"/>
    <w:link w:val="72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26" w:customStyle="1">
    <w:name w:val="Нижний колонтитул Знак"/>
    <w:basedOn w:val="718"/>
    <w:link w:val="725"/>
    <w:uiPriority w:val="99"/>
    <w:rPr>
      <w:rFonts w:ascii="Times New Roman" w:hAnsi="Times New Roman" w:cs="Times New Roman" w:eastAsia="Times New Roman"/>
      <w:sz w:val="20"/>
      <w:lang w:bidi="en-US"/>
    </w:rPr>
  </w:style>
  <w:style w:type="paragraph" w:styleId="727">
    <w:name w:val="Body Text"/>
    <w:basedOn w:val="717"/>
    <w:link w:val="728"/>
    <w:uiPriority w:val="99"/>
    <w:semiHidden/>
    <w:unhideWhenUsed/>
    <w:pPr>
      <w:spacing w:after="120"/>
    </w:pPr>
  </w:style>
  <w:style w:type="character" w:styleId="728" w:customStyle="1">
    <w:name w:val="Основной текст Знак"/>
    <w:basedOn w:val="718"/>
    <w:link w:val="727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table" w:styleId="729">
    <w:name w:val="Table Grid"/>
    <w:basedOn w:val="719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730">
    <w:name w:val="List Paragraph"/>
    <w:basedOn w:val="717"/>
    <w:qFormat/>
    <w:uiPriority w:val="99"/>
    <w:pPr>
      <w:contextualSpacing w:val="true"/>
      <w:ind w:left="720"/>
    </w:pPr>
  </w:style>
  <w:style w:type="paragraph" w:styleId="731">
    <w:name w:val="footnote text"/>
    <w:basedOn w:val="717"/>
    <w:link w:val="732"/>
    <w:uiPriority w:val="99"/>
    <w:semiHidden/>
    <w:unhideWhenUsed/>
    <w:rPr>
      <w:sz w:val="20"/>
      <w:szCs w:val="20"/>
    </w:rPr>
  </w:style>
  <w:style w:type="character" w:styleId="732" w:customStyle="1">
    <w:name w:val="Текст сноски Знак"/>
    <w:basedOn w:val="718"/>
    <w:link w:val="731"/>
    <w:uiPriority w:val="99"/>
    <w:semiHidden/>
    <w:rPr>
      <w:rFonts w:ascii="Times New Roman" w:hAnsi="Times New Roman" w:cs="Times New Roman" w:eastAsia="Times New Roman"/>
      <w:sz w:val="20"/>
      <w:szCs w:val="20"/>
      <w:lang w:bidi="en-US"/>
    </w:rPr>
  </w:style>
  <w:style w:type="character" w:styleId="733">
    <w:name w:val="footnote reference"/>
    <w:basedOn w:val="718"/>
    <w:uiPriority w:val="99"/>
    <w:semiHidden/>
    <w:unhideWhenUsed/>
    <w:rPr>
      <w:vertAlign w:val="superscript"/>
    </w:rPr>
  </w:style>
  <w:style w:type="paragraph" w:styleId="734">
    <w:name w:val="Body Text Indent"/>
    <w:basedOn w:val="717"/>
    <w:link w:val="735"/>
    <w:uiPriority w:val="99"/>
    <w:semiHidden/>
    <w:unhideWhenUsed/>
    <w:pPr>
      <w:ind w:left="283"/>
      <w:spacing w:after="120"/>
    </w:pPr>
  </w:style>
  <w:style w:type="character" w:styleId="735" w:customStyle="1">
    <w:name w:val="Основной текст с отступом Знак"/>
    <w:basedOn w:val="718"/>
    <w:link w:val="734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character" w:styleId="736">
    <w:name w:val="Strong"/>
    <w:qFormat/>
    <w:uiPriority w:val="22"/>
    <w:rPr>
      <w:b/>
      <w:bCs/>
    </w:rPr>
  </w:style>
  <w:style w:type="paragraph" w:styleId="737">
    <w:name w:val="No Spacing"/>
    <w:qFormat/>
    <w:uiPriority w:val="1"/>
    <w:rPr>
      <w:rFonts w:ascii="Calibri" w:hAnsi="Calibri" w:cs="Times New Roman" w:eastAsia="Calibri"/>
    </w:rPr>
    <w:pPr>
      <w:spacing w:lineRule="auto" w:line="240" w:after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738" w:customStyle="1">
    <w:name w:val="information"/>
    <w:basedOn w:val="718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388CC283-170D-4AFF-9D65-100192AD1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111</cp:revision>
  <dcterms:created xsi:type="dcterms:W3CDTF">2021-01-28T10:36:00Z</dcterms:created>
  <dcterms:modified xsi:type="dcterms:W3CDTF">2022-08-24T05:11:50Z</dcterms:modified>
</cp:coreProperties>
</file>