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61"/>
        <w:gridCol w:w="3260"/>
        <w:gridCol w:w="2975"/>
      </w:tblGrid>
      <w:tr>
        <w:trPr>
          <w:trHeight w:val="567"/>
        </w:trPr>
        <w:tc>
          <w:tcPr>
            <w:tcW w:w="3261" w:type="dxa"/>
            <w:vAlign w:val="center"/>
            <w:textDirection w:val="lrTb"/>
            <w:noWrap w:val="false"/>
          </w:tcPr>
          <w:p>
            <w:pPr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t xml:space="preserve">22.08.2022</w:t>
            </w:r>
            <w:r/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</w:r>
            <w:r/>
          </w:p>
        </w:tc>
        <w:tc>
          <w:tcPr>
            <w:tcW w:w="2975" w:type="dxa"/>
            <w:vAlign w:val="center"/>
            <w:textDirection w:val="lrTb"/>
            <w:noWrap w:val="false"/>
          </w:tcPr>
          <w:p>
            <w:pPr>
              <w:jc w:val="right"/>
              <w:keepNext/>
              <w:spacing w:after="60" w:before="240"/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  <w:lang w:val="en-US"/>
              </w:rPr>
              <w:outlineLvl w:val="0"/>
            </w:pP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bCs/>
                <w:spacing w:val="20"/>
                <w:sz w:val="26"/>
                <w:szCs w:val="26"/>
              </w:rPr>
              <w:t xml:space="preserve">0127/01-07</w:t>
            </w:r>
            <w:r/>
          </w:p>
        </w:tc>
      </w:tr>
      <w:tr>
        <w:trPr>
          <w:trHeight w:val="364"/>
        </w:trPr>
        <w:tc>
          <w:tcPr>
            <w:gridSpan w:val="3"/>
            <w:tcW w:w="94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48"/>
                <w:lang w:bidi="ar-SA" w:eastAsia="ru-RU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границ и режима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использования территории объекта археологического наследия федерального значения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/>
          </w:p>
          <w:p>
            <w:pPr>
              <w:jc w:val="center"/>
              <w:rPr>
                <w:rFonts w:ascii="PT Astra Serif" w:hAnsi="PT Astra Serif" w:cs="PT Astra Serif" w:eastAsia="PT Astra Serif"/>
                <w:sz w:val="25"/>
                <w:szCs w:val="25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Молчановские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курганы на «Остяцкой горе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right="-143" w:firstLine="709"/>
        <w:jc w:val="both"/>
        <w:rPr>
          <w:rFonts w:ascii="PT Astra Serif" w:hAnsi="PT Astra Serif"/>
          <w:color w:val="000000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В соответствии с 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Федеральным законом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от 25 июня 2002 года № 73-ФЗ «Об объектах культурного наследия (памятниках истории и культуры) народ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ов Российской Федерации», Законом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Томской обл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асти от 06 сентября 2016 года № 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98-ОЗ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, 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Положением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я Томской области, утвержденным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color w:val="000000"/>
          <w:sz w:val="26"/>
          <w:szCs w:val="26"/>
          <w:lang w:bidi="ar-SA" w:eastAsia="ru-RU"/>
        </w:rPr>
        <w:t xml:space="preserve"> года № 37, в целях обеспечения сохранности объекта культурного наследия</w:t>
      </w:r>
      <w:r/>
    </w:p>
    <w:p>
      <w:pPr>
        <w:ind w:right="-143" w:firstLine="567"/>
        <w:jc w:val="both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ПРИКАЗЫВАЮ: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Утвердить границы территории</w:t>
      </w:r>
      <w:r>
        <w:rPr>
          <w:rFonts w:ascii="PT Astra Serif" w:hAnsi="PT Astra Serif"/>
          <w:b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объекта археологического наследия федерального значения 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Молчановские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курганы на «Остяцкой горе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», расположенного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в Молчановском районе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, Томской области, в соответствии с приложением к настоящему приказу (не подлежит опубликованию).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Установить особый режим использования земель в границах территории объекта культурного наследия федерального значения 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Молчановские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курганы на «Остяцкой горе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»,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Cs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Направить копию настоящего приказа в Департамент по культуре Томской области в целях признания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приложения 15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к приказу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Департамента по культуре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и туризму Томской области от 18.11.2013 № 514/01-09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Об утверждении границ и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режима использования территории объектов археологического наследия федерального значения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Востриковское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Востриковское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Востриковское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», «Курганный могильник на Осиновой гриве», «Поселение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на Осиновой гриве (Поселение Осиновая Грива I)», «Поселение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на Осиновой гриве (Поселение Осиновая Грива I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)»,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«Поселение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на Осиновой гриве (Поселение Осиновая Грива I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II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)», «Поселение 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IV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на Осиновой гриве (Поселение Осиновая Грива I</w:t>
      </w:r>
      <w:r>
        <w:rPr>
          <w:rFonts w:ascii="PT Astra Serif" w:hAnsi="PT Astra Serif"/>
          <w:bCs/>
          <w:sz w:val="26"/>
          <w:szCs w:val="26"/>
          <w:lang w:val="en-US" w:bidi="ar-SA" w:eastAsia="ru-RU"/>
        </w:rPr>
        <w:t xml:space="preserve">V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)», «Молчановское древнее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селение (Молчановское селище I)», «Молчановское городище (Молчановское городище I)», «Молчановское городище (Молчановское городище II)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», 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Молчановское древнее селение (Молчановское селище II)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»,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«Молчановское древнее селение (Молчановское поселение III)»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, 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«Курганный могильник Остяцкие могилы (Курганная группа Остяцкая Гора II)»,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 </w:t>
      </w:r>
      <w:r>
        <w:rPr>
          <w:rFonts w:ascii="PT Astra Serif" w:hAnsi="PT Astra Serif"/>
          <w:b/>
          <w:bCs/>
          <w:sz w:val="26"/>
          <w:szCs w:val="26"/>
          <w:lang w:bidi="ar-SA" w:eastAsia="ru-RU"/>
        </w:rPr>
        <w:t xml:space="preserve">«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Молчановские</w:t>
      </w:r>
      <w:r>
        <w:rPr>
          <w:rFonts w:ascii="PT Astra Serif" w:hAnsi="PT Astra Serif"/>
          <w:bCs/>
          <w:sz w:val="26"/>
          <w:szCs w:val="26"/>
          <w:lang w:bidi="ar-SA" w:eastAsia="ru-RU"/>
        </w:rPr>
        <w:t xml:space="preserve"> курганы на Остяцкой горе (Курганная группа Остяцкая гора I)», расположенных в Молчановском районе Томской области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 утратившим силу.</w:t>
      </w:r>
      <w:r/>
    </w:p>
    <w:p>
      <w:pPr>
        <w:numPr>
          <w:ilvl w:val="0"/>
          <w:numId w:val="12"/>
        </w:numPr>
        <w:ind w:left="0" w:right="-143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Контроль за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bidi="ar-SA" w:eastAsia="ru-RU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 w:val="false"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jc w:val="both"/>
        <w:rPr>
          <w:rFonts w:ascii="PT Astra Serif" w:hAnsi="PT Astra Serif"/>
          <w:sz w:val="24"/>
          <w:szCs w:val="24"/>
          <w:lang w:val="en-US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notePr/>
          <w:endnotePr/>
          <w:type w:val="continuous"/>
          <w:pgSz w:w="11906" w:h="16838" w:orient="portrait"/>
          <w:pgMar w:top="851" w:right="851" w:bottom="1134" w:left="1701" w:header="561" w:footer="709" w:gutter="0"/>
          <w:pgNumType w:start="0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4"/>
          <w:szCs w:val="24"/>
          <w:lang w:val="en-US"/>
        </w:rPr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Приложение к приказу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Комитета по охране объектов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культурного наследия Томской области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от 22.08.2022  № 0127/01-07</w:t>
      </w:r>
      <w:r/>
    </w:p>
    <w:p>
      <w:pPr>
        <w:ind w:left="4820" w:right="-6"/>
        <w:jc w:val="right"/>
        <w:rPr>
          <w:rFonts w:ascii="PT Astra Serif" w:hAnsi="PT Astra Serif"/>
          <w:sz w:val="26"/>
          <w:szCs w:val="26"/>
          <w:u w:val="single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u w:val="single"/>
          <w:lang w:bidi="ar-SA" w:eastAsia="ru-RU"/>
        </w:rPr>
      </w:r>
      <w:r/>
    </w:p>
    <w:p>
      <w:pPr>
        <w:numPr>
          <w:ilvl w:val="0"/>
          <w:numId w:val="13"/>
        </w:numPr>
        <w:contextualSpacing w:val="true"/>
        <w:ind w:right="-6"/>
        <w:jc w:val="center"/>
        <w:spacing w:lineRule="auto" w:line="276" w:after="120"/>
        <w:rPr>
          <w:rFonts w:ascii="PT Astra Serif" w:hAnsi="PT Astra Serif" w:eastAsia="Calibri"/>
          <w:sz w:val="26"/>
          <w:szCs w:val="26"/>
          <w:lang w:bidi="ar-SA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Calibri"/>
          <w:sz w:val="26"/>
          <w:szCs w:val="26"/>
          <w:lang w:bidi="ar-SA"/>
        </w:rPr>
        <w:t xml:space="preserve">Схема границ территории объекта археологического наследия федерального значения «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Молчановские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 курганы на «Остяцкой горе</w:t>
      </w:r>
      <w:r>
        <w:rPr>
          <w:rFonts w:ascii="PT Astra Serif" w:hAnsi="PT Astra Serif" w:eastAsia="Calibri"/>
          <w:sz w:val="26"/>
          <w:szCs w:val="26"/>
          <w:lang w:bidi="ar-SA"/>
        </w:rPr>
        <w:t xml:space="preserve">»</w:t>
      </w:r>
      <w:r/>
    </w:p>
    <w:p>
      <w:pPr>
        <w:contextualSpacing w:val="true"/>
        <w:ind w:left="720" w:right="-6"/>
        <w:spacing w:lineRule="auto" w:line="276" w:after="120"/>
        <w:rPr>
          <w:rFonts w:ascii="PT Astra Serif" w:hAnsi="PT Astra Serif" w:eastAsia="Calibri"/>
          <w:sz w:val="26"/>
          <w:szCs w:val="26"/>
          <w:lang w:bidi="ar-SA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 w:eastAsia="Calibri"/>
          <w:sz w:val="26"/>
          <w:szCs w:val="26"/>
          <w:lang w:bidi="ar-SA"/>
        </w:rPr>
      </w:r>
      <w:r/>
    </w:p>
    <w:tbl>
      <w:tblPr>
        <w:tblW w:w="0" w:type="auto"/>
        <w:jc w:val="center"/>
        <w:tblInd w:w="837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5713"/>
      </w:tblGrid>
      <w:tr>
        <w:trPr>
          <w:jc w:val="center"/>
          <w:trHeight w:val="2804"/>
        </w:trPr>
        <w:tc>
          <w:tcPr>
            <w:tcW w:w="5713" w:type="dxa"/>
            <w:vAlign w:val="center"/>
            <w:textDirection w:val="lrTb"/>
            <w:noWrap w:val="false"/>
          </w:tcPr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</w:p>
          <w:p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</w:p>
          <w:p>
            <w:pPr>
              <w:ind w:right="-6"/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 xml:space="preserve">от 01.09.2015 № 2328</w:t>
            </w:r>
            <w:r/>
          </w:p>
        </w:tc>
      </w:tr>
    </w:tbl>
    <w:p>
      <w:pPr>
        <w:ind w:right="-6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</w:r>
      <w:r/>
    </w:p>
    <w:p>
      <w:pPr>
        <w:pStyle w:val="752"/>
        <w:numPr>
          <w:ilvl w:val="0"/>
          <w:numId w:val="13"/>
        </w:numPr>
        <w:ind w:right="-6" w:hanging="578"/>
        <w:jc w:val="center"/>
        <w:spacing w:after="240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Перечень 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координат характерных точек границ территории объекта археологического наследия федерального значения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</w:t>
      </w:r>
      <w:r/>
    </w:p>
    <w:p>
      <w:pPr>
        <w:pStyle w:val="752"/>
        <w:ind w:right="-6"/>
        <w:jc w:val="center"/>
        <w:spacing w:after="240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>
        <w:rPr>
          <w:rFonts w:ascii="PT Astra Serif" w:hAnsi="PT Astra Serif"/>
          <w:sz w:val="26"/>
          <w:szCs w:val="26"/>
          <w:lang w:bidi="ar-SA" w:eastAsia="ru-RU"/>
        </w:rPr>
        <w:t xml:space="preserve">«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Молчановские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 курганы на «Остяцкой горе</w:t>
      </w:r>
      <w:r>
        <w:rPr>
          <w:rFonts w:ascii="PT Astra Serif" w:hAnsi="PT Astra Serif"/>
          <w:sz w:val="26"/>
          <w:szCs w:val="26"/>
          <w:lang w:bidi="ar-SA" w:eastAsia="ru-RU"/>
        </w:rPr>
        <w:t xml:space="preserve">»</w:t>
      </w:r>
      <w:r/>
    </w:p>
    <w:p>
      <w:pPr>
        <w:pStyle w:val="752"/>
        <w:ind w:right="-6"/>
        <w:jc w:val="center"/>
        <w:spacing w:after="240"/>
        <w:rPr>
          <w:rFonts w:ascii="PT Astra Serif" w:hAnsi="PT Astra Serif"/>
          <w:sz w:val="26"/>
          <w:szCs w:val="26"/>
          <w:lang w:bidi="ar-SA" w:eastAsia="ru-RU"/>
        </w:rPr>
        <w:pBdr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between w:val="none" w:sz="0" w:space="0" w:color="auto"/>
        </w:pBdr>
      </w:pPr>
      <w:r/>
      <w:bookmarkStart w:id="0" w:name="_GoBack"/>
      <w:r/>
      <w:bookmarkEnd w:id="0"/>
      <w:r/>
      <w:r/>
    </w:p>
    <w:tbl>
      <w:tblPr>
        <w:tblpPr w:horzAnchor="text" w:tblpXSpec="center" w:vertAnchor="text" w:tblpY="1" w:leftFromText="180" w:topFromText="0" w:rightFromText="180" w:bottomFromText="0"/>
        <w:tblW w:w="0" w:type="auto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left="-142"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Информация скрыта</w:t>
            </w:r>
            <w:r/>
          </w:p>
          <w:p>
            <w:pPr>
              <w:ind w:left="-142"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в соответствии</w:t>
            </w:r>
            <w:r/>
          </w:p>
          <w:p>
            <w:pPr>
              <w:ind w:left="-142"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с приказом Минкультуры России</w:t>
            </w:r>
            <w:r/>
          </w:p>
          <w:p>
            <w:pPr>
              <w:ind w:left="-142" w:right="-6"/>
              <w:jc w:val="center"/>
              <w:rPr>
                <w:sz w:val="24"/>
                <w:szCs w:val="24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  <w:t xml:space="preserve">от 01.09.2015 № 2328</w:t>
            </w:r>
            <w:r/>
          </w:p>
          <w:p>
            <w:pPr>
              <w:ind w:right="-6"/>
              <w:jc w:val="center"/>
              <w:rPr>
                <w:sz w:val="26"/>
                <w:szCs w:val="26"/>
                <w:lang w:bidi="ar-SA" w:eastAsia="ru-RU"/>
              </w:rPr>
              <w:pBdr>
                <w:left w:val="none" w:sz="0" w:space="0" w:color="auto"/>
                <w:top w:val="none" w:sz="0" w:space="0" w:color="auto"/>
                <w:right w:val="none" w:sz="0" w:space="0" w:color="auto"/>
                <w:bottom w:val="none" w:sz="0" w:space="0" w:color="auto"/>
                <w:between w:val="none" w:sz="0" w:space="0" w:color="auto"/>
              </w:pBdr>
            </w:pPr>
            <w:r>
              <w:rPr>
                <w:sz w:val="26"/>
                <w:szCs w:val="26"/>
                <w:lang w:bidi="ar-SA" w:eastAsia="ru-RU"/>
              </w:rPr>
            </w:r>
            <w:r/>
          </w:p>
        </w:tc>
      </w:tr>
    </w:tbl>
    <w:p>
      <w:pPr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sectPr>
      <w:headerReference w:type="default" r:id="rId12"/>
      <w:footnotePr/>
      <w:endnotePr/>
      <w:type w:val="nextPage"/>
      <w:pgSz w:w="11906" w:h="16838" w:orient="portrait"/>
      <w:pgMar w:top="851" w:right="851" w:bottom="851" w:left="1701" w:header="561" w:footer="709" w:gutter="0"/>
      <w:pgNumType w:start="2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newromanpsmt">
    <w:panose1 w:val="02000603000000000000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PT Astra Serif" w:hAnsi="PT Astra Serif" w:cs="PT Astra Serif" w:eastAsia="PT Astra Serif"/>
      </w:rPr>
    </w:pPr>
    <w:r>
      <w:rPr>
        <w:rFonts w:ascii="PT Astra Serif" w:hAnsi="PT Astra Serif" w:cs="PT Astra Serif" w:eastAsia="PT Astra Serif"/>
      </w:rPr>
      <w:t xml:space="preserve">И.Ж. Рагимханова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rPr>
        <w:b w:val="false"/>
        <w:lang w:val="ru-RU"/>
      </w:rPr>
    </w:pPr>
    <w:r>
      <w:rPr>
        <w:b w:val="false"/>
        <w:lang w:val="ru-RU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3"/>
      <w:rPr>
        <w:b w:val="false"/>
        <w:lang w:val="ru-RU"/>
      </w:rPr>
    </w:pPr>
    <w:r>
      <w:rPr>
        <w:b w:val="false"/>
        <w:lang w:val="ru-RU"/>
      </w:rPr>
      <w:t xml:space="preserve">3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/>
        <w:b/>
        <w:lang w:val="en-US"/>
      </w:rPr>
    </w:pPr>
    <w:r>
      <w:rPr>
        <w:rFonts w:ascii="PT Astra Serif" w:hAnsi="PT Astra Serif"/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9525"/>
              <wp:docPr id="1" name="Рисунок 118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jc w:val="center"/>
      <w:spacing w:lineRule="exact" w:line="360"/>
      <w:tabs>
        <w:tab w:val="center" w:pos="4153" w:leader="none"/>
        <w:tab w:val="right" w:pos="8306" w:leader="none"/>
      </w:tabs>
      <w:rPr>
        <w:rFonts w:ascii="PT Astra Serif" w:hAnsi="PT Astra Serif"/>
        <w:b/>
        <w:caps/>
        <w:sz w:val="30"/>
        <w:szCs w:val="30"/>
      </w:r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>
      <w:rPr>
        <w:rFonts w:ascii="PT Astra Serif" w:hAnsi="PT Astra Serif"/>
        <w:b/>
        <w:caps/>
        <w:sz w:val="30"/>
        <w:szCs w:val="30"/>
      </w:rPr>
      <w:t xml:space="preserve">КОМИТЕТ ПО ОХРАНЕ ОБЪЕКТОВ КУЛЬТУРНОГО НАСЛЕДИЯ ТОМСКОЙ ОБЛАСТИ</w:t>
    </w:r>
    <w:r/>
  </w:p>
  <w:p>
    <w:pPr>
      <w:jc w:val="center"/>
      <w:spacing w:before="240"/>
      <w:tabs>
        <w:tab w:val="center" w:pos="4153" w:leader="none"/>
        <w:tab w:val="right" w:pos="8306" w:leader="none"/>
      </w:tabs>
      <w:rPr>
        <w:rFonts w:ascii="PT Astra Serif" w:hAnsi="PT Astra Serif"/>
        <w:b/>
        <w:caps/>
        <w:sz w:val="28"/>
        <w:szCs w:val="28"/>
        <w:lang w:val="en-US"/>
      </w:rPr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>
      <w:rPr>
        <w:rFonts w:ascii="PT Astra Serif" w:hAnsi="PT Astra Serif"/>
        <w:b/>
        <w:caps/>
        <w:spacing w:val="20"/>
        <w:sz w:val="28"/>
        <w:szCs w:val="28"/>
        <w:lang w:val="en-US"/>
      </w:rPr>
      <w:t xml:space="preserve">ПРИКАЗ</w:t>
    </w:r>
    <w:r/>
  </w:p>
  <w:p>
    <w:pPr>
      <w:pStyle w:val="743"/>
      <w:pBdr>
        <w:left w:val="none" w:sz="0" w:space="0" w:color="auto"/>
        <w:top w:val="none" w:sz="0" w:space="0" w:color="auto"/>
        <w:right w:val="none" w:sz="0" w:space="0" w:color="auto"/>
        <w:bottom w:val="none" w:sz="0" w:space="0" w:color="auto"/>
        <w:between w:val="none" w:sz="0" w:space="0" w:color="auto"/>
      </w:pBdr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751970693"/>
      <w:docPartObj>
        <w:docPartGallery w:val="Page Numbers (Top of Page)"/>
        <w:docPartUnique w:val="true"/>
      </w:docPartObj>
      <w:rPr/>
    </w:sdtPr>
    <w:sdtContent>
      <w:p>
        <w:pPr>
          <w:pStyle w:val="743"/>
          <w:rPr>
            <w:b w:val="false"/>
          </w:rPr>
        </w:pPr>
        <w:r>
          <w:rPr>
            <w:rFonts w:ascii="PT Astra Serif" w:hAnsi="PT Astra Serif"/>
            <w:b w:val="false"/>
            <w:lang w:val="ru-RU"/>
          </w:rPr>
          <w:t xml:space="preserve">3</w:t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87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03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19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8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2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3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800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260"/>
      </w:pPr>
      <w:rPr>
        <w:rFonts w:ascii="Times New Roman" w:hAnsi="Times New Roman" w:cs="Times New Roman" w:eastAsia="Times New Roman" w:hint="default"/>
        <w:spacing w:val="-1"/>
        <w:sz w:val="26"/>
        <w:szCs w:val="26"/>
        <w:lang w:val="ru-RU" w:bidi="ru-RU" w:eastAsia="ru-RU"/>
      </w:rPr>
    </w:lvl>
    <w:lvl w:ilvl="1">
      <w:start w:val="1"/>
      <w:numFmt w:val="bullet"/>
      <w:isLgl w:val="false"/>
      <w:suff w:val="tab"/>
      <w:lvlText w:val="•"/>
      <w:lvlJc w:val="left"/>
      <w:pPr>
        <w:ind w:left="1734" w:hanging="260"/>
      </w:pPr>
      <w:rPr>
        <w:rFonts w:hint="default"/>
        <w:lang w:val="ru-RU" w:bidi="ru-RU" w:eastAsia="ru-RU"/>
      </w:rPr>
    </w:lvl>
    <w:lvl w:ilvl="2">
      <w:start w:val="1"/>
      <w:numFmt w:val="bullet"/>
      <w:isLgl w:val="false"/>
      <w:suff w:val="tab"/>
      <w:lvlText w:val="•"/>
      <w:lvlJc w:val="left"/>
      <w:pPr>
        <w:ind w:left="2709" w:hanging="260"/>
      </w:pPr>
      <w:rPr>
        <w:rFonts w:hint="default"/>
        <w:lang w:val="ru-RU" w:bidi="ru-RU" w:eastAsia="ru-RU"/>
      </w:rPr>
    </w:lvl>
    <w:lvl w:ilvl="3">
      <w:start w:val="1"/>
      <w:numFmt w:val="bullet"/>
      <w:isLgl w:val="false"/>
      <w:suff w:val="tab"/>
      <w:lvlText w:val="•"/>
      <w:lvlJc w:val="left"/>
      <w:pPr>
        <w:ind w:left="3683" w:hanging="260"/>
      </w:pPr>
      <w:rPr>
        <w:rFonts w:hint="default"/>
        <w:lang w:val="ru-RU" w:bidi="ru-RU" w:eastAsia="ru-RU"/>
      </w:rPr>
    </w:lvl>
    <w:lvl w:ilvl="4">
      <w:start w:val="1"/>
      <w:numFmt w:val="bullet"/>
      <w:isLgl w:val="false"/>
      <w:suff w:val="tab"/>
      <w:lvlText w:val="•"/>
      <w:lvlJc w:val="left"/>
      <w:pPr>
        <w:ind w:left="4658" w:hanging="260"/>
      </w:pPr>
      <w:rPr>
        <w:rFonts w:hint="default"/>
        <w:lang w:val="ru-RU" w:bidi="ru-RU" w:eastAsia="ru-RU"/>
      </w:rPr>
    </w:lvl>
    <w:lvl w:ilvl="5">
      <w:start w:val="1"/>
      <w:numFmt w:val="bullet"/>
      <w:isLgl w:val="false"/>
      <w:suff w:val="tab"/>
      <w:lvlText w:val="•"/>
      <w:lvlJc w:val="left"/>
      <w:pPr>
        <w:ind w:left="5632" w:hanging="260"/>
      </w:pPr>
      <w:rPr>
        <w:rFonts w:hint="default"/>
        <w:lang w:val="ru-RU" w:bidi="ru-RU" w:eastAsia="ru-RU"/>
      </w:rPr>
    </w:lvl>
    <w:lvl w:ilvl="6">
      <w:start w:val="1"/>
      <w:numFmt w:val="bullet"/>
      <w:isLgl w:val="false"/>
      <w:suff w:val="tab"/>
      <w:lvlText w:val="•"/>
      <w:lvlJc w:val="left"/>
      <w:pPr>
        <w:ind w:left="6607" w:hanging="260"/>
      </w:pPr>
      <w:rPr>
        <w:rFonts w:hint="default"/>
        <w:lang w:val="ru-RU" w:bidi="ru-RU" w:eastAsia="ru-RU"/>
      </w:rPr>
    </w:lvl>
    <w:lvl w:ilvl="7">
      <w:start w:val="1"/>
      <w:numFmt w:val="bullet"/>
      <w:isLgl w:val="false"/>
      <w:suff w:val="tab"/>
      <w:lvlText w:val="•"/>
      <w:lvlJc w:val="left"/>
      <w:pPr>
        <w:ind w:left="7581" w:hanging="260"/>
      </w:pPr>
      <w:rPr>
        <w:rFonts w:hint="default"/>
        <w:lang w:val="ru-RU" w:bidi="ru-RU" w:eastAsia="ru-RU"/>
      </w:rPr>
    </w:lvl>
    <w:lvl w:ilvl="8">
      <w:start w:val="1"/>
      <w:numFmt w:val="bullet"/>
      <w:isLgl w:val="false"/>
      <w:suff w:val="tab"/>
      <w:lvlText w:val="•"/>
      <w:lvlJc w:val="left"/>
      <w:pPr>
        <w:ind w:left="8556" w:hanging="260"/>
      </w:pPr>
      <w:rPr>
        <w:rFonts w:hint="default"/>
        <w:lang w:val="ru-RU" w:bidi="ru-RU" w:eastAsia="ru-RU"/>
      </w:rPr>
    </w:lvl>
  </w:abstractNum>
  <w:num w:numId="1">
    <w:abstractNumId w:val="7"/>
  </w:num>
  <w:num w:numId="2">
    <w:abstractNumId w:val="12"/>
  </w:num>
  <w:num w:numId="3">
    <w:abstractNumId w:val="2"/>
  </w:num>
  <w:num w:numId="4">
    <w:abstractNumId w:val="4"/>
  </w:num>
  <w:num w:numId="5">
    <w:abstractNumId w:val="9"/>
  </w:num>
  <w:num w:numId="6">
    <w:abstractNumId w:val="10"/>
  </w:num>
  <w:num w:numId="7">
    <w:abstractNumId w:val="3"/>
  </w:num>
  <w:num w:numId="8">
    <w:abstractNumId w:val="6"/>
  </w:num>
  <w:num w:numId="9">
    <w:abstractNumId w:val="1"/>
  </w:num>
  <w:num w:numId="10">
    <w:abstractNumId w:val="0"/>
  </w:num>
  <w:num w:numId="11">
    <w:abstractNumId w:val="8"/>
  </w:num>
  <w:num w:numId="12">
    <w:abstractNumId w:val="11"/>
  </w:num>
  <w:num w:numId="13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739"/>
    <w:next w:val="739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740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739"/>
    <w:next w:val="739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740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739"/>
    <w:next w:val="739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740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739"/>
    <w:next w:val="739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740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39"/>
    <w:next w:val="739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740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39"/>
    <w:next w:val="739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740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39"/>
    <w:next w:val="739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740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39"/>
    <w:next w:val="739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740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39"/>
    <w:next w:val="739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740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739"/>
    <w:next w:val="739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740"/>
    <w:link w:val="32"/>
    <w:uiPriority w:val="10"/>
    <w:rPr>
      <w:sz w:val="48"/>
      <w:szCs w:val="48"/>
    </w:rPr>
  </w:style>
  <w:style w:type="paragraph" w:styleId="34">
    <w:name w:val="Subtitle"/>
    <w:basedOn w:val="739"/>
    <w:next w:val="739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740"/>
    <w:link w:val="34"/>
    <w:uiPriority w:val="11"/>
    <w:rPr>
      <w:sz w:val="24"/>
      <w:szCs w:val="24"/>
    </w:rPr>
  </w:style>
  <w:style w:type="paragraph" w:styleId="36">
    <w:name w:val="Quote"/>
    <w:basedOn w:val="739"/>
    <w:next w:val="739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739"/>
    <w:next w:val="739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740"/>
    <w:link w:val="743"/>
    <w:uiPriority w:val="99"/>
  </w:style>
  <w:style w:type="character" w:styleId="43">
    <w:name w:val="Footer Char"/>
    <w:basedOn w:val="740"/>
    <w:link w:val="747"/>
    <w:uiPriority w:val="99"/>
  </w:style>
  <w:style w:type="paragraph" w:styleId="44">
    <w:name w:val="Caption"/>
    <w:basedOn w:val="739"/>
    <w:next w:val="739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747"/>
    <w:uiPriority w:val="99"/>
  </w:style>
  <w:style w:type="table" w:styleId="47">
    <w:name w:val="Table Grid Light"/>
    <w:basedOn w:val="74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74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741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74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74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74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character" w:styleId="174">
    <w:name w:val="Footnote Text Char"/>
    <w:link w:val="753"/>
    <w:uiPriority w:val="99"/>
    <w:rPr>
      <w:sz w:val="18"/>
    </w:rPr>
  </w:style>
  <w:style w:type="paragraph" w:styleId="176">
    <w:name w:val="endnote text"/>
    <w:basedOn w:val="739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40"/>
    <w:uiPriority w:val="99"/>
    <w:semiHidden/>
    <w:unhideWhenUsed/>
    <w:rPr>
      <w:vertAlign w:val="superscript"/>
    </w:rPr>
  </w:style>
  <w:style w:type="paragraph" w:styleId="179">
    <w:name w:val="toc 1"/>
    <w:basedOn w:val="739"/>
    <w:next w:val="739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739"/>
    <w:next w:val="739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739"/>
    <w:next w:val="739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739"/>
    <w:next w:val="739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739"/>
    <w:next w:val="739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739"/>
    <w:next w:val="739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739"/>
    <w:next w:val="739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739"/>
    <w:next w:val="739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739"/>
    <w:next w:val="739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739"/>
    <w:next w:val="739"/>
    <w:uiPriority w:val="99"/>
    <w:unhideWhenUsed/>
    <w:pPr>
      <w:spacing w:after="0" w:afterAutospacing="0"/>
    </w:pPr>
  </w:style>
  <w:style w:type="paragraph" w:styleId="739" w:default="1">
    <w:name w:val="Normal"/>
    <w:qFormat/>
    <w:rPr>
      <w:rFonts w:ascii="Times New Roman" w:hAnsi="Times New Roman" w:cs="Times New Roman" w:eastAsia="Times New Roman"/>
      <w:sz w:val="20"/>
      <w:lang w:bidi="en-US"/>
    </w:rPr>
    <w:pPr>
      <w:spacing w:lineRule="auto" w:line="240" w:after="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740" w:default="1">
    <w:name w:val="Default Paragraph Font"/>
    <w:uiPriority w:val="1"/>
    <w:semiHidden/>
    <w:unhideWhenUsed/>
  </w:style>
  <w:style w:type="table" w:styleId="7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2" w:default="1">
    <w:name w:val="No List"/>
    <w:uiPriority w:val="99"/>
    <w:semiHidden/>
    <w:unhideWhenUsed/>
  </w:style>
  <w:style w:type="paragraph" w:styleId="743">
    <w:name w:val="Header"/>
    <w:basedOn w:val="739"/>
    <w:link w:val="744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744" w:customStyle="1">
    <w:name w:val="Верхний колонтитул Знак"/>
    <w:basedOn w:val="740"/>
    <w:link w:val="743"/>
    <w:uiPriority w:val="99"/>
    <w:rPr>
      <w:rFonts w:ascii="Times New Roman" w:hAnsi="Times New Roman" w:cs="Times New Roman" w:eastAsia="Times New Roman"/>
      <w:b/>
      <w:caps/>
      <w:sz w:val="28"/>
      <w:lang w:val="en-US" w:bidi="en-US"/>
    </w:rPr>
  </w:style>
  <w:style w:type="paragraph" w:styleId="745">
    <w:name w:val="Balloon Text"/>
    <w:basedOn w:val="739"/>
    <w:link w:val="746"/>
    <w:uiPriority w:val="99"/>
    <w:semiHidden/>
    <w:unhideWhenUsed/>
    <w:rPr>
      <w:rFonts w:ascii="Tahoma" w:hAnsi="Tahoma" w:cs="Tahoma"/>
      <w:sz w:val="16"/>
      <w:szCs w:val="16"/>
    </w:rPr>
  </w:style>
  <w:style w:type="character" w:styleId="746" w:customStyle="1">
    <w:name w:val="Текст выноски Знак"/>
    <w:basedOn w:val="740"/>
    <w:link w:val="745"/>
    <w:uiPriority w:val="99"/>
    <w:semiHidden/>
    <w:rPr>
      <w:rFonts w:ascii="Tahoma" w:hAnsi="Tahoma" w:cs="Tahoma" w:eastAsia="Times New Roman"/>
      <w:sz w:val="16"/>
      <w:szCs w:val="16"/>
      <w:lang w:bidi="en-US"/>
    </w:rPr>
  </w:style>
  <w:style w:type="paragraph" w:styleId="747">
    <w:name w:val="Footer"/>
    <w:basedOn w:val="739"/>
    <w:link w:val="74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48" w:customStyle="1">
    <w:name w:val="Нижний колонтитул Знак"/>
    <w:basedOn w:val="740"/>
    <w:link w:val="747"/>
    <w:uiPriority w:val="99"/>
    <w:rPr>
      <w:rFonts w:ascii="Times New Roman" w:hAnsi="Times New Roman" w:cs="Times New Roman" w:eastAsia="Times New Roman"/>
      <w:sz w:val="20"/>
      <w:lang w:bidi="en-US"/>
    </w:rPr>
  </w:style>
  <w:style w:type="paragraph" w:styleId="749">
    <w:name w:val="Body Text"/>
    <w:basedOn w:val="739"/>
    <w:link w:val="750"/>
    <w:uiPriority w:val="99"/>
    <w:semiHidden/>
    <w:unhideWhenUsed/>
    <w:pPr>
      <w:spacing w:after="120"/>
    </w:pPr>
  </w:style>
  <w:style w:type="character" w:styleId="750" w:customStyle="1">
    <w:name w:val="Основной текст Знак"/>
    <w:basedOn w:val="740"/>
    <w:link w:val="749"/>
    <w:uiPriority w:val="99"/>
    <w:semiHidden/>
    <w:rPr>
      <w:rFonts w:ascii="Times New Roman" w:hAnsi="Times New Roman" w:cs="Times New Roman" w:eastAsia="Times New Roman"/>
      <w:sz w:val="20"/>
      <w:lang w:bidi="en-US"/>
    </w:rPr>
  </w:style>
  <w:style w:type="table" w:styleId="751">
    <w:name w:val="Table Grid"/>
    <w:basedOn w:val="741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752">
    <w:name w:val="List Paragraph"/>
    <w:basedOn w:val="739"/>
    <w:qFormat/>
    <w:uiPriority w:val="34"/>
    <w:pPr>
      <w:contextualSpacing w:val="true"/>
      <w:ind w:left="720"/>
    </w:pPr>
  </w:style>
  <w:style w:type="paragraph" w:styleId="753">
    <w:name w:val="footnote text"/>
    <w:basedOn w:val="739"/>
    <w:link w:val="754"/>
    <w:uiPriority w:val="99"/>
    <w:semiHidden/>
    <w:unhideWhenUsed/>
    <w:rPr>
      <w:sz w:val="20"/>
      <w:szCs w:val="20"/>
    </w:rPr>
  </w:style>
  <w:style w:type="character" w:styleId="754" w:customStyle="1">
    <w:name w:val="Текст сноски Знак"/>
    <w:basedOn w:val="740"/>
    <w:link w:val="753"/>
    <w:uiPriority w:val="99"/>
    <w:semiHidden/>
    <w:rPr>
      <w:rFonts w:ascii="Times New Roman" w:hAnsi="Times New Roman" w:cs="Times New Roman" w:eastAsia="Times New Roman"/>
      <w:sz w:val="20"/>
      <w:szCs w:val="20"/>
      <w:lang w:bidi="en-US"/>
    </w:rPr>
  </w:style>
  <w:style w:type="character" w:styleId="755">
    <w:name w:val="footnote reference"/>
    <w:basedOn w:val="740"/>
    <w:uiPriority w:val="99"/>
    <w:semiHidden/>
    <w:unhideWhenUsed/>
    <w:rPr>
      <w:vertAlign w:val="superscript"/>
    </w:rPr>
  </w:style>
  <w:style w:type="paragraph" w:styleId="756">
    <w:name w:val="Body Text Indent"/>
    <w:basedOn w:val="739"/>
    <w:link w:val="757"/>
    <w:uiPriority w:val="99"/>
    <w:semiHidden/>
    <w:unhideWhenUsed/>
    <w:pPr>
      <w:ind w:left="283"/>
      <w:spacing w:after="120"/>
    </w:pPr>
  </w:style>
  <w:style w:type="character" w:styleId="757" w:customStyle="1">
    <w:name w:val="Основной текст с отступом Знак"/>
    <w:basedOn w:val="740"/>
    <w:link w:val="756"/>
    <w:uiPriority w:val="99"/>
    <w:semiHidden/>
    <w:rPr>
      <w:rFonts w:ascii="Times New Roman" w:hAnsi="Times New Roman" w:cs="Times New Roman" w:eastAsia="Times New Roman"/>
      <w:sz w:val="20"/>
      <w:lang w:bidi="en-US"/>
    </w:rPr>
  </w:style>
  <w:style w:type="paragraph" w:styleId="758">
    <w:name w:val="Document Map"/>
    <w:basedOn w:val="739"/>
    <w:link w:val="759"/>
    <w:uiPriority w:val="99"/>
    <w:semiHidden/>
    <w:unhideWhenUsed/>
    <w:rPr>
      <w:rFonts w:ascii="Tahoma" w:hAnsi="Tahoma" w:cs="Tahoma"/>
      <w:sz w:val="16"/>
      <w:szCs w:val="16"/>
    </w:rPr>
  </w:style>
  <w:style w:type="character" w:styleId="759" w:customStyle="1">
    <w:name w:val="Схема документа Знак"/>
    <w:basedOn w:val="740"/>
    <w:link w:val="758"/>
    <w:uiPriority w:val="99"/>
    <w:semiHidden/>
    <w:rPr>
      <w:rFonts w:ascii="Tahoma" w:hAnsi="Tahoma" w:cs="Tahoma" w:eastAsia="Times New Roman"/>
      <w:sz w:val="16"/>
      <w:szCs w:val="16"/>
      <w:lang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customXml" Target="../customXml/item1.xml" /><Relationship Id="rId15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E36D252F-069C-452B-99C3-0EC949915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115</cp:revision>
  <dcterms:created xsi:type="dcterms:W3CDTF">2021-01-28T10:36:00Z</dcterms:created>
  <dcterms:modified xsi:type="dcterms:W3CDTF">2022-08-24T06:57:43Z</dcterms:modified>
</cp:coreProperties>
</file>