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260"/>
      </w:tblGrid>
      <w:tr>
        <w:trPr>
          <w:trHeight w:val="567"/>
        </w:trPr>
        <w:tc>
          <w:tcPr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09.12.2022</w:t>
            </w:r>
            <w:r/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pacing w:val="20"/>
                <w:sz w:val="26"/>
                <w:szCs w:val="26"/>
              </w:rPr>
            </w:r>
            <w:r/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pStyle w:val="818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0242/01-07</w:t>
            </w:r>
            <w:r/>
          </w:p>
        </w:tc>
      </w:tr>
      <w:tr>
        <w:trPr>
          <w:trHeight w:val="364"/>
        </w:trPr>
        <w:tc>
          <w:tcPr>
            <w:gridSpan w:val="3"/>
            <w:tcW w:w="9639" w:type="dxa"/>
            <w:textDirection w:val="lrTb"/>
            <w:noWrap w:val="false"/>
          </w:tcPr>
          <w:p>
            <w:pPr>
              <w:pStyle w:val="827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  <w:r>
              <w:rPr>
                <w:rFonts w:ascii="PT Astra Serif" w:hAnsi="PT Astra Serif"/>
                <w:spacing w:val="20"/>
                <w:sz w:val="48"/>
                <w:szCs w:val="48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639" w:type="dxa"/>
            <w:textDirection w:val="lrTb"/>
            <w:noWrap w:val="false"/>
          </w:tcPr>
          <w:p>
            <w:pPr>
              <w:pStyle w:val="827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Каштаковский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II курганный могильник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pStyle w:val="818"/>
        <w:ind w:firstLine="709"/>
        <w:jc w:val="both"/>
        <w:tabs>
          <w:tab w:val="left" w:pos="705" w:leader="none"/>
        </w:tabs>
        <w:rPr>
          <w:rFonts w:ascii="PT Astra Serif" w:hAnsi="PT Astra Serif"/>
          <w:sz w:val="26"/>
          <w:szCs w:val="26"/>
        </w:rPr>
      </w:pPr>
      <w:r/>
      <w:bookmarkStart w:id="0" w:name="ТекстовоеПоле2"/>
      <w:r>
        <w:rPr>
          <w:rFonts w:ascii="PT Astra Serif" w:hAnsi="PT Astra Serif"/>
          <w:sz w:val="26"/>
          <w:szCs w:val="26"/>
        </w:rPr>
        <w:tab/>
      </w:r>
      <w:r/>
    </w:p>
    <w:p>
      <w:pPr>
        <w:ind w:firstLine="709"/>
        <w:jc w:val="both"/>
        <w:spacing w:lineRule="atLeast" w:line="26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Федеральным законом</w:t>
      </w:r>
      <w:r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Законом</w:t>
      </w:r>
      <w:r>
        <w:rPr>
          <w:rFonts w:ascii="PT Astra Serif" w:hAnsi="PT Astra Serif"/>
          <w:sz w:val="26"/>
          <w:szCs w:val="26"/>
        </w:rPr>
        <w:t xml:space="preserve"> Томской области от </w:t>
      </w:r>
      <w:r>
        <w:rPr>
          <w:rFonts w:ascii="PT Astra Serif" w:hAnsi="PT Astra Serif"/>
          <w:sz w:val="26"/>
          <w:szCs w:val="26"/>
        </w:rPr>
        <w:t xml:space="preserve">06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сентября</w:t>
      </w:r>
      <w:r>
        <w:rPr>
          <w:rFonts w:ascii="PT Astra Serif" w:hAnsi="PT Astra Serif"/>
          <w:sz w:val="26"/>
          <w:szCs w:val="26"/>
        </w:rPr>
        <w:t xml:space="preserve"> 20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 98</w:t>
      </w:r>
      <w:r>
        <w:rPr>
          <w:rFonts w:ascii="PT Astra Serif" w:hAnsi="PT Astra Serif"/>
          <w:sz w:val="26"/>
          <w:szCs w:val="26"/>
        </w:rPr>
        <w:t xml:space="preserve">-ОЗ «Об объектах культурного наследия (памятниках истории и культуры) Томской области»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Положением</w:t>
      </w:r>
      <w:r>
        <w:rPr>
          <w:rFonts w:ascii="PT Astra Serif" w:hAnsi="PT Astra Serif"/>
          <w:sz w:val="26"/>
          <w:szCs w:val="26"/>
        </w:rPr>
        <w:t xml:space="preserve"> о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 xml:space="preserve">я Томской области, утвержденным</w:t>
      </w:r>
      <w:r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/>
          <w:sz w:val="26"/>
          <w:szCs w:val="26"/>
        </w:rPr>
        <w:t xml:space="preserve"> года № 37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целях обеспечения сохранности объекта</w:t>
      </w:r>
      <w:r>
        <w:rPr>
          <w:rFonts w:ascii="PT Astra Serif" w:hAnsi="PT Astra Serif"/>
          <w:sz w:val="26"/>
          <w:szCs w:val="26"/>
        </w:rPr>
        <w:t xml:space="preserve"> культурного наследия</w:t>
      </w:r>
      <w:r/>
    </w:p>
    <w:p>
      <w:pPr>
        <w:pStyle w:val="831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bookmarkEnd w:id="0"/>
      <w:r/>
    </w:p>
    <w:p>
      <w:pPr>
        <w:pStyle w:val="848"/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Утвердить границы территории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Каштаковский</w:t>
      </w:r>
      <w:r>
        <w:rPr>
          <w:rFonts w:ascii="PT Astra Serif" w:hAnsi="PT Astra Serif"/>
          <w:b w:val="false"/>
          <w:sz w:val="26"/>
          <w:szCs w:val="26"/>
        </w:rPr>
        <w:t xml:space="preserve"> II курганный могильник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 расположенного </w:t>
      </w:r>
      <w:r>
        <w:rPr>
          <w:rFonts w:ascii="PT Astra Serif" w:hAnsi="PT Astra Serif"/>
          <w:b w:val="false"/>
          <w:sz w:val="26"/>
          <w:szCs w:val="26"/>
        </w:rPr>
        <w:t xml:space="preserve">на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Зырянского</w:t>
      </w:r>
      <w:r>
        <w:rPr>
          <w:rFonts w:ascii="PT Astra Serif" w:hAnsi="PT Astra Serif"/>
          <w:b w:val="false"/>
          <w:sz w:val="26"/>
          <w:szCs w:val="26"/>
        </w:rPr>
        <w:t xml:space="preserve"> района </w:t>
      </w:r>
      <w:r>
        <w:rPr>
          <w:rFonts w:ascii="PT Astra Serif" w:hAnsi="PT Astra Serif"/>
          <w:b w:val="false"/>
          <w:sz w:val="26"/>
          <w:szCs w:val="26"/>
        </w:rPr>
        <w:t xml:space="preserve">Томской области</w:t>
      </w:r>
      <w:r>
        <w:rPr>
          <w:rFonts w:ascii="PT Astra Serif" w:hAnsi="PT Astra Serif"/>
          <w:b w:val="false"/>
          <w:sz w:val="26"/>
          <w:szCs w:val="26"/>
        </w:rPr>
        <w:t xml:space="preserve">, в соответствии с </w:t>
      </w:r>
      <w:r>
        <w:rPr>
          <w:rFonts w:ascii="PT Astra Serif" w:hAnsi="PT Astra Serif"/>
          <w:b w:val="false"/>
          <w:sz w:val="26"/>
          <w:szCs w:val="26"/>
        </w:rPr>
        <w:t xml:space="preserve">приложением к настоящему приказу.</w:t>
      </w:r>
      <w:r/>
    </w:p>
    <w:p>
      <w:pPr>
        <w:pStyle w:val="848"/>
        <w:numPr>
          <w:ilvl w:val="0"/>
          <w:numId w:val="44"/>
        </w:numPr>
        <w:ind w:left="0" w:firstLine="709"/>
        <w:jc w:val="both"/>
        <w:widowControl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Каштаковский</w:t>
      </w:r>
      <w:r>
        <w:rPr>
          <w:rFonts w:ascii="PT Astra Serif" w:hAnsi="PT Astra Serif"/>
          <w:b w:val="false"/>
          <w:sz w:val="26"/>
          <w:szCs w:val="26"/>
        </w:rPr>
        <w:t xml:space="preserve"> II курганный могильник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</w:t>
      </w:r>
      <w:r>
        <w:rPr>
          <w:rFonts w:ascii="PT Astra Serif" w:hAnsi="PT Astra Serif"/>
          <w:b w:val="false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b w:val="false"/>
          <w:sz w:val="26"/>
          <w:szCs w:val="26"/>
        </w:rPr>
        <w:t xml:space="preserve">.</w:t>
      </w:r>
      <w:r/>
    </w:p>
    <w:p>
      <w:pPr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</w:rPr>
      </w:pPr>
      <w:r>
        <w:rPr>
          <w:rFonts w:ascii="PT Astra Serif" w:hAnsi="PT Astra Serif" w:eastAsia="TimesNewRomanPSMT"/>
          <w:sz w:val="26"/>
          <w:szCs w:val="26"/>
        </w:rPr>
      </w:r>
      <w:r/>
    </w:p>
    <w:p>
      <w:pPr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</w:rPr>
      </w:pPr>
      <w:r>
        <w:rPr>
          <w:rFonts w:ascii="PT Astra Serif" w:hAnsi="PT Astra Serif" w:eastAsia="TimesNewRomanPSMT"/>
          <w:sz w:val="26"/>
          <w:szCs w:val="26"/>
        </w:rPr>
      </w:r>
      <w:r/>
    </w:p>
    <w:tbl>
      <w:tblPr>
        <w:tblStyle w:val="837"/>
        <w:tblW w:w="9498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298"/>
      </w:tblGrid>
      <w:tr>
        <w:trPr/>
        <w:tc>
          <w:tcPr>
            <w:tcW w:w="3686" w:type="dxa"/>
            <w:textDirection w:val="lrTb"/>
            <w:noWrap w:val="false"/>
          </w:tcPr>
          <w:p>
            <w:pPr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W w:w="3514" w:type="dxa"/>
            <w:vMerge w:val="restart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/>
            <w:bookmarkStart w:id="1" w:name="_GoBack"/>
            <w:r/>
            <w:bookmarkEnd w:id="1"/>
            <w:r/>
            <w:r/>
          </w:p>
        </w:tc>
        <w:tc>
          <w:tcPr>
            <w:tcW w:w="2298" w:type="dxa"/>
            <w:textDirection w:val="lrTb"/>
            <w:noWrap w:val="false"/>
          </w:tcPr>
          <w:p>
            <w:pPr>
              <w:ind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Е.В. </w:t>
            </w:r>
            <w:r>
              <w:rPr>
                <w:sz w:val="26"/>
                <w:szCs w:val="26"/>
              </w:rPr>
              <w:t xml:space="preserve">Перетягина</w:t>
            </w:r>
            <w:r/>
          </w:p>
        </w:tc>
      </w:tr>
      <w:tr>
        <w:trPr/>
        <w:tc>
          <w:tcPr>
            <w:tcW w:w="3686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  <w:tc>
          <w:tcPr>
            <w:tcW w:w="3514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  <w:tc>
          <w:tcPr>
            <w:tcW w:w="229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/>
          </w:p>
        </w:tc>
      </w:tr>
    </w:tbl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pStyle w:val="844"/>
        <w:ind w:right="-142"/>
        <w:spacing w:lineRule="auto" w:line="276"/>
        <w:rPr>
          <w:rFonts w:ascii="PT Astra Serif" w:hAnsi="PT Astra Serif"/>
          <w:sz w:val="26"/>
          <w:szCs w:val="26"/>
        </w:rPr>
        <w:sectPr>
          <w:headerReference w:type="even" r:id="rId9"/>
          <w:headerReference w:type="first" r:id="rId10"/>
          <w:footerReference w:type="first" r:id="rId12"/>
          <w:footnotePr/>
          <w:endnotePr/>
          <w:type w:val="nextColumn"/>
          <w:pgSz w:w="11907" w:h="16840" w:orient="portrait"/>
          <w:pgMar w:top="709" w:right="708" w:bottom="709" w:left="1701" w:header="567" w:footer="448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</w:t>
      </w:r>
      <w:r/>
      <w:r>
        <w:rPr>
          <w:rFonts w:ascii="PT Astra Serif" w:hAnsi="PT Astra Serif"/>
          <w:sz w:val="26"/>
          <w:szCs w:val="26"/>
        </w:rPr>
        <w:t xml:space="preserve"> Комитета по охране объектов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культурного наследия Томской области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09.12.2022  № 0242/01-07</w:t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ind w:left="0" w:firstLine="0"/>
        <w:jc w:val="center"/>
        <w:spacing w:after="120"/>
        <w:tabs>
          <w:tab w:val="left" w:pos="567" w:leader="none"/>
          <w:tab w:val="left" w:pos="709" w:leader="none"/>
          <w:tab w:val="left" w:pos="851" w:leader="none"/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Схема границ </w:t>
      </w:r>
      <w:r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Каштаковский</w:t>
      </w:r>
      <w:r>
        <w:rPr>
          <w:rFonts w:ascii="PT Astra Serif" w:hAnsi="PT Astra Serif"/>
          <w:sz w:val="26"/>
          <w:szCs w:val="26"/>
        </w:rPr>
        <w:t xml:space="preserve"> II курганный могильник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p>
      <w:pPr>
        <w:pStyle w:val="852"/>
        <w:ind w:left="0" w:right="-142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tbl>
      <w:tblPr>
        <w:tblW w:w="0" w:type="auto"/>
        <w:jc w:val="center"/>
        <w:tblInd w:w="1212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</w:p>
          <w:p>
            <w:pPr>
              <w:ind w:right="-6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 xml:space="preserve">от 01.09.2015 № 2328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</w:tbl>
    <w:p>
      <w:pPr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ind w:left="0" w:firstLine="0"/>
        <w:jc w:val="center"/>
        <w:tabs>
          <w:tab w:val="left" w:pos="567" w:leader="none"/>
          <w:tab w:val="left" w:pos="70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</w:t>
      </w:r>
      <w:r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федерального</w:t>
      </w:r>
      <w:r>
        <w:rPr>
          <w:rFonts w:ascii="PT Astra Serif" w:hAnsi="PT Astra Serif"/>
          <w:sz w:val="26"/>
          <w:szCs w:val="26"/>
        </w:rPr>
        <w:t xml:space="preserve">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Каштаковский</w:t>
      </w:r>
      <w:r>
        <w:rPr>
          <w:rFonts w:ascii="PT Astra Serif" w:hAnsi="PT Astra Serif"/>
          <w:sz w:val="26"/>
          <w:szCs w:val="26"/>
        </w:rPr>
        <w:t xml:space="preserve"> II курганный могильник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</w:p>
          <w:p>
            <w:pPr>
              <w:ind w:right="-6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 xml:space="preserve">от 01.09.2015 № 2328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r/>
          </w:p>
        </w:tc>
      </w:tr>
    </w:tbl>
    <w:p>
      <w:pPr>
        <w:ind w:right="-142"/>
      </w:pPr>
      <w:r/>
      <w:r/>
    </w:p>
    <w:sectPr>
      <w:headerReference w:type="default" r:id="rId11"/>
      <w:footnotePr/>
      <w:endnotePr/>
      <w:type w:val="nextPage"/>
      <w:pgSz w:w="11906" w:h="16838" w:orient="portrait"/>
      <w:pgMar w:top="284" w:right="707" w:bottom="127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ind w:left="-567"/>
      <w:rPr>
        <w:rFonts w:ascii="PT Astra Serif" w:hAnsi="PT Astra Serif"/>
      </w:rPr>
    </w:pPr>
    <w:r>
      <w:rPr>
        <w:rFonts w:ascii="PT Astra Serif" w:hAnsi="PT Astra Serif"/>
      </w:rPr>
      <w:t xml:space="preserve">И.Ж. Рагимханова 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rStyle w:val="834"/>
        <w:sz w:val="28"/>
        <w:szCs w:val="28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5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639" w:type="dxa"/>
      <w:tblInd w:w="108" w:type="dxa"/>
      <w:tblBorders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639" w:type="dxa"/>
          <w:textDirection w:val="lrTb"/>
          <w:noWrap w:val="false"/>
        </w:tcPr>
        <w:p>
          <w:pPr>
            <w:pStyle w:val="829"/>
            <w:jc w:val="center"/>
            <w:spacing w:lineRule="exact" w:line="360"/>
            <w:rPr>
              <w:rFonts w:ascii="PT Astra Serif" w:hAnsi="PT Astra Serif"/>
              <w:b/>
              <w:bCs/>
              <w:sz w:val="30"/>
              <w:szCs w:val="30"/>
            </w:rPr>
          </w:pPr>
          <w:r>
            <w:rPr>
              <w:rFonts w:ascii="PT Astra Serif" w:hAnsi="PT Astra Serif"/>
              <w:b/>
              <w:bC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819"/>
            <w:jc w:val="center"/>
            <w:rPr>
              <w:rFonts w:ascii="PT Astra Serif" w:hAnsi="PT Astra Serif"/>
              <w:b/>
              <w:sz w:val="24"/>
              <w:szCs w:val="24"/>
            </w:rPr>
          </w:pPr>
          <w:r>
            <w:rPr>
              <w:rFonts w:ascii="PT Astra Serif" w:hAnsi="PT Astra Serif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639" w:type="dxa"/>
          <w:textDirection w:val="lrTb"/>
          <w:noWrap w:val="false"/>
        </w:tcPr>
        <w:p>
          <w:pPr>
            <w:pStyle w:val="820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>
            <w:rPr>
              <w:rFonts w:ascii="PT Astra Serif" w:hAnsi="PT Astra Serif"/>
              <w:spacing w:val="40"/>
              <w:sz w:val="28"/>
              <w:szCs w:val="28"/>
            </w:rPr>
            <w:t xml:space="preserve">ПРИКАЗ</w:t>
          </w:r>
          <w:r/>
        </w:p>
      </w:tc>
    </w:tr>
  </w:tbl>
  <w:p>
    <w:pPr>
      <w:pStyle w:val="829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sz w:val="28"/>
        <w:szCs w:val="28"/>
      </w:rPr>
      <w:t xml:space="preserve">3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i w:val="false"/>
        <w:u w:val="none"/>
      </w:rPr>
    </w:lvl>
    <w:lvl w:ilvl="1">
      <w:start w:val="1"/>
      <w:numFmt w:val="decimal"/>
      <w:isLgl w:val="false"/>
      <w:suff w:val="tab"/>
      <w:lvlText w:val="%1.%2"/>
      <w:lvlJc w:val="left"/>
      <w:pPr>
        <w:ind w:left="1211" w:hanging="360"/>
      </w:pPr>
      <w:rPr>
        <w:rFonts w:hint="default"/>
        <w:i w:val="false"/>
        <w:u w:val="none"/>
      </w:rPr>
    </w:lvl>
    <w:lvl w:ilvl="2">
      <w:start w:val="1"/>
      <w:numFmt w:val="decimal"/>
      <w:isLgl w:val="false"/>
      <w:suff w:val="tab"/>
      <w:lvlText w:val="%1.%2.%3"/>
      <w:lvlJc w:val="left"/>
      <w:pPr>
        <w:ind w:left="2988" w:hanging="720"/>
      </w:pPr>
      <w:rPr>
        <w:rFonts w:hint="default"/>
        <w:i w:val="false"/>
        <w:u w:val="none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4122" w:hanging="720"/>
      </w:pPr>
      <w:rPr>
        <w:rFonts w:hint="default"/>
        <w:i w:val="false"/>
        <w:u w:val="none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616" w:hanging="1080"/>
      </w:pPr>
      <w:rPr>
        <w:rFonts w:hint="default"/>
        <w:i w:val="false"/>
        <w:u w:val="none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750" w:hanging="1080"/>
      </w:pPr>
      <w:rPr>
        <w:rFonts w:hint="default"/>
        <w:i w:val="false"/>
        <w:u w:val="none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8244" w:hanging="1440"/>
      </w:pPr>
      <w:rPr>
        <w:rFonts w:hint="default"/>
        <w:i w:val="false"/>
        <w:u w:val="none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378" w:hanging="1440"/>
      </w:pPr>
      <w:rPr>
        <w:rFonts w:hint="default"/>
        <w:i w:val="false"/>
        <w:u w:val="none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872" w:hanging="1800"/>
      </w:pPr>
      <w:rPr>
        <w:rFonts w:hint="default"/>
        <w:i w:val="false"/>
        <w:u w:val="none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64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7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9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1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3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5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7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9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14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hint="default"/>
        <w:b w:val="false"/>
        <w:i w:val="false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  <w:b w:val="false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80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2"/>
  </w:num>
  <w:num w:numId="4">
    <w:abstractNumId w:val="17"/>
  </w:num>
  <w:num w:numId="5">
    <w:abstractNumId w:val="48"/>
  </w:num>
  <w:num w:numId="6">
    <w:abstractNumId w:val="24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29"/>
  </w:num>
  <w:num w:numId="12">
    <w:abstractNumId w:val="41"/>
  </w:num>
  <w:num w:numId="13">
    <w:abstractNumId w:val="3"/>
  </w:num>
  <w:num w:numId="14">
    <w:abstractNumId w:val="8"/>
  </w:num>
  <w:num w:numId="15">
    <w:abstractNumId w:val="19"/>
  </w:num>
  <w:num w:numId="16">
    <w:abstractNumId w:val="28"/>
  </w:num>
  <w:num w:numId="17">
    <w:abstractNumId w:val="31"/>
  </w:num>
  <w:num w:numId="18">
    <w:abstractNumId w:val="6"/>
  </w:num>
  <w:num w:numId="19">
    <w:abstractNumId w:val="33"/>
  </w:num>
  <w:num w:numId="20">
    <w:abstractNumId w:val="4"/>
  </w:num>
  <w:num w:numId="21">
    <w:abstractNumId w:val="16"/>
  </w:num>
  <w:num w:numId="22">
    <w:abstractNumId w:val="34"/>
  </w:num>
  <w:num w:numId="23">
    <w:abstractNumId w:val="25"/>
  </w:num>
  <w:num w:numId="24">
    <w:abstractNumId w:val="5"/>
  </w:num>
  <w:num w:numId="25">
    <w:abstractNumId w:val="49"/>
  </w:num>
  <w:num w:numId="26">
    <w:abstractNumId w:val="38"/>
  </w:num>
  <w:num w:numId="27">
    <w:abstractNumId w:val="20"/>
  </w:num>
  <w:num w:numId="28">
    <w:abstractNumId w:val="47"/>
  </w:num>
  <w:num w:numId="29">
    <w:abstractNumId w:val="11"/>
  </w:num>
  <w:num w:numId="30">
    <w:abstractNumId w:val="1"/>
  </w:num>
  <w:num w:numId="31">
    <w:abstractNumId w:val="9"/>
  </w:num>
  <w:num w:numId="32">
    <w:abstractNumId w:val="13"/>
  </w:num>
  <w:num w:numId="33">
    <w:abstractNumId w:val="7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2"/>
  </w:num>
  <w:num w:numId="40">
    <w:abstractNumId w:val="10"/>
  </w:num>
  <w:num w:numId="41">
    <w:abstractNumId w:val="0"/>
  </w:num>
  <w:num w:numId="42">
    <w:abstractNumId w:val="23"/>
  </w:num>
  <w:num w:numId="43">
    <w:abstractNumId w:val="15"/>
  </w:num>
  <w:num w:numId="44">
    <w:abstractNumId w:val="27"/>
  </w:num>
  <w:num w:numId="45">
    <w:abstractNumId w:val="26"/>
  </w:num>
  <w:num w:numId="46">
    <w:abstractNumId w:val="45"/>
  </w:num>
  <w:num w:numId="47">
    <w:abstractNumId w:val="44"/>
  </w:num>
  <w:num w:numId="48">
    <w:abstractNumId w:val="14"/>
  </w:num>
  <w:num w:numId="49">
    <w:abstractNumId w:val="22"/>
  </w:num>
  <w:num w:numId="50">
    <w:abstractNumId w:val="3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824"/>
    <w:link w:val="818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824"/>
    <w:link w:val="819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824"/>
    <w:link w:val="820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824"/>
    <w:link w:val="821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824"/>
    <w:link w:val="822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824"/>
    <w:link w:val="823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17"/>
    <w:next w:val="817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824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17"/>
    <w:next w:val="817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824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17"/>
    <w:next w:val="817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824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817"/>
    <w:next w:val="817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824"/>
    <w:link w:val="32"/>
    <w:uiPriority w:val="10"/>
    <w:rPr>
      <w:sz w:val="48"/>
      <w:szCs w:val="48"/>
    </w:rPr>
  </w:style>
  <w:style w:type="paragraph" w:styleId="34">
    <w:name w:val="Subtitle"/>
    <w:basedOn w:val="817"/>
    <w:next w:val="817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824"/>
    <w:link w:val="34"/>
    <w:uiPriority w:val="11"/>
    <w:rPr>
      <w:sz w:val="24"/>
      <w:szCs w:val="24"/>
    </w:rPr>
  </w:style>
  <w:style w:type="paragraph" w:styleId="36">
    <w:name w:val="Quote"/>
    <w:basedOn w:val="817"/>
    <w:next w:val="817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17"/>
    <w:next w:val="817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824"/>
    <w:link w:val="829"/>
    <w:uiPriority w:val="99"/>
  </w:style>
  <w:style w:type="character" w:styleId="43">
    <w:name w:val="Footer Char"/>
    <w:basedOn w:val="824"/>
    <w:link w:val="830"/>
    <w:uiPriority w:val="99"/>
  </w:style>
  <w:style w:type="paragraph" w:styleId="44">
    <w:name w:val="Caption"/>
    <w:basedOn w:val="817"/>
    <w:next w:val="81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30"/>
    <w:uiPriority w:val="99"/>
  </w:style>
  <w:style w:type="table" w:styleId="47">
    <w:name w:val="Table Grid Light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825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173">
    <w:name w:val="footnote text"/>
    <w:basedOn w:val="817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824"/>
    <w:uiPriority w:val="99"/>
    <w:unhideWhenUsed/>
    <w:rPr>
      <w:vertAlign w:val="superscript"/>
    </w:rPr>
  </w:style>
  <w:style w:type="paragraph" w:styleId="176">
    <w:name w:val="endnote text"/>
    <w:basedOn w:val="817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824"/>
    <w:uiPriority w:val="99"/>
    <w:semiHidden/>
    <w:unhideWhenUsed/>
    <w:rPr>
      <w:vertAlign w:val="superscript"/>
    </w:rPr>
  </w:style>
  <w:style w:type="paragraph" w:styleId="179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</w:style>
  <w:style w:type="paragraph" w:styleId="818">
    <w:name w:val="Heading 1"/>
    <w:basedOn w:val="827"/>
    <w:next w:val="827"/>
    <w:qFormat/>
    <w:rPr>
      <w:rFonts w:ascii="Tahoma" w:hAnsi="Tahoma"/>
      <w:sz w:val="24"/>
    </w:rPr>
    <w:pPr>
      <w:keepNext/>
      <w:outlineLvl w:val="0"/>
    </w:pPr>
  </w:style>
  <w:style w:type="paragraph" w:styleId="819">
    <w:name w:val="Heading 2"/>
    <w:basedOn w:val="827"/>
    <w:next w:val="827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820">
    <w:name w:val="Heading 3"/>
    <w:basedOn w:val="827"/>
    <w:next w:val="827"/>
    <w:qFormat/>
    <w:rPr>
      <w:rFonts w:ascii="Tahoma" w:hAnsi="Tahoma"/>
      <w:b/>
      <w:sz w:val="32"/>
    </w:rPr>
    <w:pPr>
      <w:keepNext/>
      <w:outlineLvl w:val="2"/>
    </w:pPr>
  </w:style>
  <w:style w:type="paragraph" w:styleId="821">
    <w:name w:val="Heading 4"/>
    <w:basedOn w:val="827"/>
    <w:next w:val="827"/>
    <w:qFormat/>
    <w:rPr>
      <w:sz w:val="28"/>
    </w:rPr>
    <w:pPr>
      <w:jc w:val="both"/>
      <w:keepNext/>
      <w:outlineLvl w:val="3"/>
    </w:pPr>
  </w:style>
  <w:style w:type="paragraph" w:styleId="822">
    <w:name w:val="Heading 5"/>
    <w:basedOn w:val="827"/>
    <w:next w:val="827"/>
    <w:qFormat/>
    <w:rPr>
      <w:sz w:val="28"/>
    </w:rPr>
    <w:pPr>
      <w:ind w:firstLine="567"/>
      <w:keepNext/>
      <w:outlineLvl w:val="4"/>
    </w:pPr>
  </w:style>
  <w:style w:type="paragraph" w:styleId="823">
    <w:name w:val="Heading 6"/>
    <w:basedOn w:val="827"/>
    <w:next w:val="827"/>
    <w:qFormat/>
    <w:rPr>
      <w:sz w:val="28"/>
    </w:rPr>
    <w:pPr>
      <w:ind w:left="7200"/>
      <w:jc w:val="both"/>
      <w:keepNext/>
      <w:outlineLvl w:val="5"/>
    </w:pPr>
  </w:style>
  <w:style w:type="character" w:styleId="824" w:default="1">
    <w:name w:val="Default Paragraph Font"/>
    <w:uiPriority w:val="1"/>
    <w:semiHidden/>
    <w:unhideWhenUsed/>
  </w:style>
  <w:style w:type="table" w:styleId="8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6" w:default="1">
    <w:name w:val="No List"/>
    <w:uiPriority w:val="99"/>
    <w:semiHidden/>
    <w:unhideWhenUsed/>
  </w:style>
  <w:style w:type="paragraph" w:styleId="827" w:customStyle="1">
    <w:name w:val="Обычный1"/>
  </w:style>
  <w:style w:type="character" w:styleId="828" w:customStyle="1">
    <w:name w:val="Основной шрифт абзаца1"/>
  </w:style>
  <w:style w:type="paragraph" w:styleId="829">
    <w:name w:val="Header"/>
    <w:basedOn w:val="827"/>
    <w:pPr>
      <w:tabs>
        <w:tab w:val="center" w:pos="4153" w:leader="none"/>
        <w:tab w:val="right" w:pos="8306" w:leader="none"/>
      </w:tabs>
    </w:pPr>
  </w:style>
  <w:style w:type="paragraph" w:styleId="830">
    <w:name w:val="Footer"/>
    <w:basedOn w:val="827"/>
    <w:pPr>
      <w:tabs>
        <w:tab w:val="center" w:pos="4153" w:leader="none"/>
        <w:tab w:val="right" w:pos="8306" w:leader="none"/>
      </w:tabs>
    </w:pPr>
  </w:style>
  <w:style w:type="paragraph" w:styleId="831">
    <w:name w:val="Body Text Indent"/>
    <w:basedOn w:val="827"/>
    <w:rPr>
      <w:sz w:val="28"/>
    </w:rPr>
    <w:pPr>
      <w:ind w:firstLine="426"/>
      <w:jc w:val="both"/>
    </w:pPr>
  </w:style>
  <w:style w:type="paragraph" w:styleId="832" w:customStyle="1">
    <w:name w:val="Основной текст1"/>
    <w:basedOn w:val="827"/>
    <w:rPr>
      <w:sz w:val="28"/>
    </w:rPr>
    <w:pPr>
      <w:jc w:val="both"/>
      <w:spacing w:lineRule="auto" w:line="360"/>
    </w:pPr>
  </w:style>
  <w:style w:type="paragraph" w:styleId="833">
    <w:name w:val="Body Text Indent 2"/>
    <w:basedOn w:val="827"/>
    <w:rPr>
      <w:sz w:val="28"/>
    </w:rPr>
    <w:pPr>
      <w:ind w:firstLine="720"/>
      <w:jc w:val="both"/>
    </w:pPr>
  </w:style>
  <w:style w:type="character" w:styleId="834">
    <w:name w:val="page number"/>
    <w:basedOn w:val="824"/>
  </w:style>
  <w:style w:type="paragraph" w:styleId="835" w:customStyle="1">
    <w:name w:val="ConsNonformat"/>
    <w:rPr>
      <w:rFonts w:ascii="Courier New" w:hAnsi="Courier New"/>
    </w:rPr>
    <w:pPr>
      <w:ind w:right="19772"/>
    </w:pPr>
  </w:style>
  <w:style w:type="paragraph" w:styleId="836" w:customStyle="1">
    <w:name w:val="ConsTitle"/>
    <w:rPr>
      <w:rFonts w:ascii="Arial" w:hAnsi="Arial"/>
      <w:b/>
      <w:sz w:val="16"/>
    </w:rPr>
    <w:pPr>
      <w:ind w:right="19772"/>
    </w:pPr>
  </w:style>
  <w:style w:type="table" w:styleId="837">
    <w:name w:val="Table Grid"/>
    <w:basedOn w:val="825"/>
    <w:uiPriority w:val="5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838">
    <w:name w:val="Balloon Text"/>
    <w:basedOn w:val="817"/>
    <w:semiHidden/>
    <w:rPr>
      <w:rFonts w:ascii="Tahoma" w:hAnsi="Tahoma" w:cs="Tahoma"/>
      <w:sz w:val="16"/>
      <w:szCs w:val="16"/>
    </w:rPr>
  </w:style>
  <w:style w:type="character" w:styleId="839">
    <w:name w:val="Strong"/>
    <w:qFormat/>
    <w:rPr>
      <w:b/>
      <w:bCs/>
    </w:rPr>
  </w:style>
  <w:style w:type="paragraph" w:styleId="840" w:customStyle="1">
    <w:name w:val="Знак Знак Знак Знак Знак Знак Знак Знак Знак Знак Знак Знак Знак Знак Знак1 Знак Знак Знак Знак"/>
    <w:basedOn w:val="817"/>
    <w:next w:val="819"/>
    <w:rPr>
      <w:sz w:val="24"/>
      <w:lang w:val="en-US" w:eastAsia="en-US"/>
    </w:rPr>
    <w:pPr>
      <w:spacing w:lineRule="exact" w:line="240" w:after="160"/>
    </w:pPr>
  </w:style>
  <w:style w:type="paragraph" w:styleId="841" w:customStyle="1">
    <w:name w:val="Знак1 Знак Знак Знак"/>
    <w:basedOn w:val="817"/>
    <w:rPr>
      <w:rFonts w:ascii="Verdana" w:hAnsi="Verdana" w:cs="Verdana"/>
      <w:lang w:val="en-US" w:eastAsia="en-US"/>
    </w:rPr>
  </w:style>
  <w:style w:type="character" w:styleId="842" w:customStyle="1">
    <w:name w:val="apple-converted-space"/>
    <w:basedOn w:val="824"/>
  </w:style>
  <w:style w:type="character" w:styleId="843">
    <w:name w:val="Hyperlink"/>
    <w:rPr>
      <w:color w:val="0000FF"/>
      <w:u w:val="single"/>
    </w:rPr>
  </w:style>
  <w:style w:type="paragraph" w:styleId="844" w:customStyle="1">
    <w:name w:val="Исполнитель"/>
    <w:basedOn w:val="817"/>
  </w:style>
  <w:style w:type="paragraph" w:styleId="845" w:customStyle="1">
    <w:name w:val="a"/>
    <w:basedOn w:val="817"/>
    <w:rPr>
      <w:sz w:val="24"/>
      <w:szCs w:val="24"/>
    </w:rPr>
    <w:pPr>
      <w:spacing w:after="100" w:afterAutospacing="1" w:before="100" w:beforeAutospacing="1"/>
    </w:pPr>
  </w:style>
  <w:style w:type="paragraph" w:styleId="846" w:customStyle="1">
    <w:name w:val="Абзац списка1"/>
    <w:basedOn w:val="817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47">
    <w:name w:val="Document Map"/>
    <w:basedOn w:val="817"/>
    <w:semiHidden/>
    <w:rPr>
      <w:rFonts w:ascii="Tahoma" w:hAnsi="Tahoma" w:cs="Tahoma"/>
    </w:rPr>
    <w:pPr>
      <w:shd w:val="clear" w:fill="000080" w:color="auto"/>
    </w:pPr>
  </w:style>
  <w:style w:type="paragraph" w:styleId="848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849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850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851">
    <w:name w:val="Body Text"/>
    <w:basedOn w:val="817"/>
    <w:pPr>
      <w:spacing w:after="120"/>
    </w:pPr>
  </w:style>
  <w:style w:type="paragraph" w:styleId="852">
    <w:name w:val="List Paragraph"/>
    <w:basedOn w:val="817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53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854" w:customStyle="1">
    <w:name w:val="Default"/>
    <w:rPr>
      <w:color w:val="000000"/>
      <w:sz w:val="24"/>
      <w:szCs w:val="24"/>
    </w:rPr>
  </w:style>
  <w:style w:type="table" w:styleId="855" w:customStyle="1">
    <w:name w:val="Table Normal"/>
    <w:qFormat/>
    <w:uiPriority w:val="2"/>
    <w:semiHidden/>
    <w:unhideWhenUsed/>
    <w:rPr>
      <w:rFonts w:asciiTheme="minorHAnsi" w:hAnsiTheme="minorHAnsi" w:eastAsiaTheme="minorHAnsi" w:cstheme="minorBidi"/>
      <w:sz w:val="22"/>
      <w:szCs w:val="22"/>
      <w:lang w:val="en-US" w:eastAsia="en-US"/>
    </w:rPr>
    <w:pPr>
      <w:widowControl w:val="off"/>
    </w:p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56" w:customStyle="1">
    <w:name w:val="Table Paragraph"/>
    <w:basedOn w:val="817"/>
    <w:qFormat/>
    <w:uiPriority w:val="1"/>
    <w:rPr>
      <w:sz w:val="22"/>
      <w:szCs w:val="22"/>
      <w:lang w:bidi="ru-RU"/>
    </w:rPr>
    <w:pPr>
      <w:ind w:left="1322"/>
      <w:jc w:val="center"/>
      <w:spacing w:lineRule="exact" w:line="256"/>
      <w:widowControl w:val="off"/>
    </w:pPr>
  </w:style>
  <w:style w:type="table" w:styleId="857" w:customStyle="1">
    <w:name w:val="Сетка таблицы1"/>
    <w:basedOn w:val="825"/>
    <w:next w:val="837"/>
    <w:pPr>
      <w:ind w:firstLine="709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3C57EEE0-8B8E-433E-829E-C447D39BA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100</cp:revision>
  <dcterms:created xsi:type="dcterms:W3CDTF">2018-01-30T07:24:00Z</dcterms:created>
  <dcterms:modified xsi:type="dcterms:W3CDTF">2022-12-12T03:35:27Z</dcterms:modified>
</cp:coreProperties>
</file>