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59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15.12.2022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59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59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0243/01-07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  <w:r/>
          </w:p>
        </w:tc>
      </w:tr>
      <w:tr>
        <w:trPr>
          <w:trHeight w:val="26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pStyle w:val="1075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/>
          </w:p>
          <w:p>
            <w:pPr>
              <w:pStyle w:val="1075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>
              <w:rPr>
                <w:sz w:val="24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br/>
            </w: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Доходный дом К. Андреева», кон. ХIХ в.</w:t>
            </w:r>
            <w:r>
              <w:rPr>
                <w:sz w:val="26"/>
              </w:rPr>
            </w:r>
            <w:r/>
          </w:p>
        </w:tc>
      </w:tr>
    </w:tbl>
    <w:p>
      <w:pPr>
        <w:contextualSpacing w:val="true"/>
        <w:ind w:firstLine="0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sz w:val="26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со статьей 47.6 Федерального закона от 25.06.2002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73-ФЗ «Об объектах культурного наследия (памятниках истории и культуры) народов Российской Федерации»; приказом Министерства культуры Российской Федерации от 13.07.2020 № 774 «Об утверждении формы охранного обязательства собственника или иного законного вл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утверждения»; подпунктом б) пункта 8) части 9 главы 2 П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оложения о Комитете по охране объектов культурного наследия Томской области, утвержденного постановлением Губернатора Томской области от 29.04.2016 № 37,</w:t>
      </w:r>
      <w:r>
        <w:rPr>
          <w:sz w:val="26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sz w:val="26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1. Утвердить охранное обязательство собственника или иного законного владельца объекта кул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ьтурного наследия регионального значения «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Доходный дом К. Андреева», кон. ХIХ в.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адресу: Томская область, г. Томск, Обруб (улица), 4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согласно приложению к  настоящему приказу.</w:t>
      </w:r>
      <w:r>
        <w:rPr>
          <w:sz w:val="26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2. 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обязательства.</w:t>
      </w:r>
      <w:r>
        <w:rPr>
          <w:sz w:val="26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3. 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 настоящего приказа возложить на председателя Комитета по охране объектов культурного наследия Томской области.</w:t>
      </w:r>
      <w:r>
        <w:rPr>
          <w:sz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sz w:val="26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93"/>
        <w:gridCol w:w="2587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793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sz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  <w:r>
              <w:rPr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sz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sz w:val="26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</w:rPr>
      </w:r>
      <w:r>
        <w:rPr>
          <w:rFonts w:ascii="PT Astra Serif" w:hAnsi="PT Astra Serif" w:cs="PT Astra Serif" w:eastAsia="PT Astra Serif"/>
          <w:sz w:val="18"/>
        </w:rPr>
      </w:r>
      <w:r/>
    </w:p>
    <w:p>
      <w:pPr>
        <w:pStyle w:val="1073"/>
        <w:rPr>
          <w:rFonts w:ascii="PT Astra Serif" w:hAnsi="PT Astra Serif" w:cs="PT Astra Serif" w:eastAsia="PT Astra Serif"/>
          <w:sz w:val="18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73"/>
        <w:rPr>
          <w:rFonts w:ascii="PT Astra Serif" w:hAnsi="PT Astra Serif" w:cs="PT Astra Serif" w:eastAsia="PT Astra Serif"/>
          <w:sz w:val="20"/>
          <w:highlight w:val="none"/>
        </w:rPr>
      </w:pPr>
      <w:r>
        <w:rPr>
          <w:rFonts w:ascii="PT Astra Serif" w:hAnsi="PT Astra Serif" w:cs="PT Astra Serif" w:eastAsia="PT Astra Serif"/>
          <w:sz w:val="20"/>
          <w:highlight w:val="none"/>
        </w:rPr>
      </w:r>
      <w:r>
        <w:rPr>
          <w:rFonts w:ascii="PT Astra Serif" w:hAnsi="PT Astra Serif" w:cs="PT Astra Serif" w:eastAsia="PT Astra Serif"/>
          <w:sz w:val="20"/>
          <w:highlight w:val="none"/>
        </w:rPr>
        <w:t xml:space="preserve">Ю.С. Матвеева</w:t>
      </w:r>
      <w:r>
        <w:rPr>
          <w:sz w:val="20"/>
        </w:rPr>
      </w:r>
      <w:r/>
    </w:p>
    <w:p>
      <w:pPr>
        <w:pStyle w:val="1073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5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УТВЕРЖДЕНО</w:t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 15.12.2022    №   0243/01-07</w:t>
      </w:r>
      <w:r/>
    </w:p>
    <w:p>
      <w:pPr>
        <w:ind w:left="567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/>
    </w:p>
    <w:p>
      <w:pPr>
        <w:pStyle w:val="1067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color w:val="000000"/>
          <w:lang w:val="ru-RU"/>
        </w:rPr>
      </w:pPr>
      <w:r>
        <w:rPr>
          <w:rFonts w:ascii="PT Astra Serif" w:hAnsi="PT Astra Serif" w:cs="PT Astra Serif" w:eastAsia="PT Astra Serif"/>
          <w:color w:val="000000"/>
          <w:lang w:val="ru-RU"/>
        </w:rPr>
      </w:r>
      <w:r/>
    </w:p>
    <w:p>
      <w:pPr>
        <w:pStyle w:val="1067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color w:val="000000"/>
          <w:lang w:val="ru-RU" w:bidi="ru-RU"/>
        </w:rPr>
        <w:t xml:space="preserve">ОХРАННОЕ ОБЯЗАТЕЛЬСТВО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 народов Российской Федерации</w:t>
      </w:r>
      <w:r/>
    </w:p>
    <w:p>
      <w:pPr>
        <w:pStyle w:val="1066"/>
        <w:jc w:val="center"/>
        <w:spacing w:lineRule="auto" w:line="240" w:after="0"/>
        <w:shd w:val="clear" w:fill="auto" w:color="auto"/>
        <w:rPr>
          <w:rFonts w:ascii="PT Astra Serif" w:hAnsi="PT Astra Serif" w:cs="PT Astra Serif" w:eastAsia="PT Astra Serif"/>
          <w:b/>
          <w:lang w:val="ru-RU"/>
        </w:rPr>
      </w:pPr>
      <w:r>
        <w:rPr>
          <w:rFonts w:ascii="PT Astra Serif" w:hAnsi="PT Astra Serif" w:cs="PT Astra Serif" w:eastAsia="PT Astra Serif"/>
          <w:b/>
          <w:lang w:val="ru-RU"/>
        </w:rPr>
      </w:r>
      <w:r/>
    </w:p>
    <w:p>
      <w:pPr>
        <w:pStyle w:val="1066"/>
        <w:jc w:val="center"/>
        <w:spacing w:lineRule="auto" w:line="240" w:after="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lang w:val="ru-RU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textDirection w:val="lrTb"/>
            <w:noWrap w:val="false"/>
          </w:tcPr>
          <w:p>
            <w:pPr>
              <w:pStyle w:val="1066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«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textDirection w:val="lrTb"/>
            <w:noWrap w:val="false"/>
          </w:tcPr>
          <w:p>
            <w:pPr>
              <w:pStyle w:val="1066"/>
              <w:ind w:left="-60" w:right="-61"/>
              <w:jc w:val="center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/>
              </w:rPr>
            </w:r>
            <w:r>
              <w:rPr>
                <w:rFonts w:ascii="PT Astra Serif" w:hAnsi="PT Astra Serif" w:cs="PT Astra Serif" w:eastAsia="PT Astra Serif"/>
                <w:b/>
              </w:rPr>
              <w:t xml:space="preserve">Доходный дом К. Андреева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textDirection w:val="lrTb"/>
            <w:noWrap w:val="false"/>
          </w:tcPr>
          <w:p>
            <w:pPr>
              <w:pStyle w:val="1066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»</w:t>
            </w:r>
            <w:r/>
          </w:p>
        </w:tc>
      </w:tr>
    </w:tbl>
    <w:p>
      <w:pPr>
        <w:pStyle w:val="1068"/>
        <w:ind w:firstLine="0"/>
        <w:spacing w:lineRule="exact" w:line="240" w:after="0" w:before="0"/>
        <w:shd w:val="clear" w:fill="auto" w:color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наименование объекта культурного наследия, включенного в единый государственный реестр объектов культурного наследия (памятников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стории и культуры) народов Российской Федерации, в соответствии с 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)</w:t>
      </w:r>
      <w:r/>
    </w:p>
    <w:p>
      <w:pPr>
        <w:pStyle w:val="1066"/>
        <w:spacing w:lineRule="auto" w:line="240" w:after="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lang w:val="ru-RU"/>
        </w:rPr>
      </w:r>
      <w:r/>
    </w:p>
    <w:tbl>
      <w:tblPr>
        <w:tblW w:w="8510" w:type="dxa"/>
        <w:jc w:val="center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563"/>
        </w:trPr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7</w:t>
            </w:r>
            <w:r/>
          </w:p>
        </w:tc>
        <w:tc>
          <w:tcPr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6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  <w:tc>
          <w:tcPr>
            <w:tcW w:w="57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5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реестра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</w:rPr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Отметка о наличии или отсутствии паспорта объекта культурного наследия, включен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1043"/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footnoteReference w:id="2"/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:</w:t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имеется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val="en-US" w:bidi="ru-RU"/>
              </w:rPr>
              <w:t xml:space="preserve">V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отсутствует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1. Сведения об объекте культурного наследия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наименовании объекта культурного наследия:</w:t>
      </w:r>
      <w:r/>
    </w:p>
    <w:p>
      <w:pPr>
        <w:ind w:left="1069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времени возникновения или дате создания объекта культурного наследия, датах основных изменений (перестроек) данного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объекта и (или) датах связанных с ним исторических событий: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категории историко-культурного значения объекта культурног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650"/>
        </w:trPr>
        <w:tc>
          <w:tcPr>
            <w:tcBorders>
              <w:right w:val="single" w:color="000000" w:sz="4" w:space="0"/>
            </w:tcBorders>
            <w:tcW w:w="21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федерального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регионального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муниципального значения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виде объекта культурного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sz w:val="12"/>
          <w:szCs w:val="12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642"/>
        </w:trPr>
        <w:tc>
          <w:tcPr>
            <w:tcBorders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ансамбль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1.5.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Номер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1.6.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местонахождении объекта культурного наследия (адрес объекта или, при его отсутствии, описание местоположения объекта):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/>
    </w:p>
    <w:p>
      <w:pPr>
        <w:jc w:val="center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960"/>
        </w:trPr>
        <w:tc>
          <w:tcPr>
            <w:tcBorders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ул.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корп. и (или) стр.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кадастровый номер (при наличии):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textDirection w:val="lrTb"/>
            <w:noWrap w:val="false"/>
          </w:tcPr>
          <w:p>
            <w:r/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/>
    </w:p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1.7.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1.8.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Описание предмета охраны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1.9.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Фотографическое (иное графическое) изображение объекта культурного наследия (на момент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Style w:val="91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Наименование объекта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Адрес объекта или местоположение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Границы территории объекта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Предмет охраны объекта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Зоны охраны объекта культурного наследия</w:t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обом режиме использования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ародов Российской Федерации» (далее – Закон № 73-ФЗ):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Иные сведения, предусмотренные Законом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  <w:t xml:space="preserve">Раздел 2. Требования к сохранению объекта культурного наследия</w:t>
      </w:r>
      <w:r/>
    </w:p>
    <w:p>
      <w:pPr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1 статьи 47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культурного наследия, определенным пунктом 7 статьи 47.6 Закона № 73-ФЗ (далее - соответствующий орган охраны) культурного наследия (в соответствии со статьями 9, 9.1, 9.2, 9.3 Закона № 73-ФЗ) с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учетом мнения собственника или иного законного владельца объ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стояния, функционального назначения и намечаемого использования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1 статьи 47.3 Закона № 73-ФЗ при содержании и использовании объекта культурного наследия, включенного в реестр,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 объекта культурного наследия лица, указанные в пункте 11 статьи 47.6 Закона № 73-Ф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ть расходы на содержание объекта культурного наследия и поддержание его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в надлежащем техническом, санитарном и противопожарном состоянии;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3) не проводить работы, изм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еняющие облик, объемно-планировочные и 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4) об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еспечивать сохранность и неизменность облика выявленного объекта культурного наследия;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5) соблюдать установленные статьей 5.1 Закона № 73-ФЗ требования к осуществлению деятельности в границах территории объекта культурного наследия, включенного в реестр,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собый режим использования земельного участка, водного объекта или его части, в границах которых располагается объект археологического наследия;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6) не использовать объект культурного наследия (за исключением оборудованных с учетом требований противопожарной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безопасности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масло):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объекты производства и лаборатории, связанные с неблагоприятным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для объекта культурного наследия температурно-влажностным режимом и применением химически активных веществ;</w:t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оятельствах,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аследия, или угрожающих причинением такого вреда, и безотлагательно принимать меры по 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дия;</w:t>
      </w:r>
      <w:r/>
    </w:p>
    <w:p>
      <w:pPr>
        <w:ind w:right="-1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8) не допускать ухудшения состояния территории объекта культурного наследия, включенного в реестр, поддерживать территорию объекта культурного наследия в благоустроенном состоянии.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наследия в части, предусматривающей обесп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случае обнаружения при проведении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законный владелец объекта культурного наследия осуществляет действия, предусмотренные подпунктом 2 пункта 3 статьи 47.2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случае если содержание или использование объекта культурного наследия может привести к ухудшению состояния данно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видам хозяйственной деятельности с использованием объекта культурного наследия, либо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к видам хозяйственной деятельности, оказывающим воздействие на указанный объект, в том числе ограничение хозяйственной деятельности: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 иных параметров воздействия на объект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тельства требования не установлены</w:t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благоустройству в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3.5.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-ФЗ, обязаны осуществлять финансирование мероприятий, обеспечивающих выполнение требований по содержанию и использованию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Федерации, иностранных граждан и лиц без гражданства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к объекту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нному обязательству).</w:t>
      </w:r>
      <w:r/>
    </w:p>
    <w:p>
      <w:pPr>
        <w:ind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анства к объекту культурного наследия. 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  <w:t xml:space="preserve"> в случае, если их размещение допускается в соответствии с законодательством Российской Федерации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5.1.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Требования к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распространению на объектах культурного наследия,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35.1 Закона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объектах культурного наследия, включенных в реестр, а также на их территориях не допускается распростран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 зрелищно-развлекательных мероприятий или исключитель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но информацию 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 рекламной площади (пространства)</w:t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sz w:val="26"/>
          <w:szCs w:val="26"/>
        </w:rPr>
        <w:outlineLvl w:val="2"/>
      </w:pPr>
      <w:r/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обозначений на объект культурного наследия</w:t>
      </w:r>
      <w:bookmarkEnd w:id="0"/>
      <w:r/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На объектах культурного наследия должны быть установлены надписи и обозначения, содержащие информацию об объекте культурного наследия, в порядке,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пределенном пунктом 2 статьи 27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об информационной надписи и обозначениях на объекте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>
          <w:trHeight w:val="240"/>
        </w:trPr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highlight w:val="yellow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установлена</w:t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объекта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Обеспечение условий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НЕСКО при проведении крупномасштабных восстановительных или новых строительных работ в границах его территории или его буферной зоны.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Необходимость проведения работ по консервации и реставрации объекта культурного наследия физическими лицами, аттестов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 соответствии с пунктом 6 статьи 45 Закона № 73-ФЗ</w:t>
            </w:r>
            <w:r/>
          </w:p>
        </w:tc>
      </w:tr>
    </w:tbl>
    <w:p>
      <w:p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ind w:left="709"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br w:type="page"/>
      </w:r>
      <w:r/>
    </w:p>
    <w:tbl>
      <w:tblPr>
        <w:tblStyle w:val="91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Приложение № 1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  <w:highlight w:val="none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к охранному обязательству собственника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или иного законного владельца объекта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культурного наследия, включенного в единый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государственный реестр объектов культурного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наследия (памятни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ков истории и культуры)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/>
          </w:p>
        </w:tc>
      </w:tr>
    </w:tbl>
    <w:p>
      <w:pPr>
        <w:ind w:right="-1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  <w:highlight w:val="none"/>
        </w:rPr>
      </w:r>
      <w:r>
        <w:rPr>
          <w:rFonts w:ascii="PT Astra Serif" w:hAnsi="PT Astra Serif" w:cs="PT Astra Serif" w:eastAsia="PT Astra Serif"/>
          <w:color w:val="000000"/>
          <w:sz w:val="24"/>
          <w:szCs w:val="26"/>
          <w:highlight w:val="none"/>
        </w:rPr>
      </w:r>
      <w:r/>
    </w:p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1087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sz w:val="26"/>
        </w:rPr>
      </w:r>
      <w:r/>
    </w:p>
    <w:tbl>
      <w:tblPr>
        <w:tblW w:w="935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27"/>
        <w:gridCol w:w="2909"/>
        <w:gridCol w:w="2910"/>
        <w:gridCol w:w="2910"/>
      </w:tblGrid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№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п/п</w:t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Состав (перечень) 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видов работ</w:t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Сроки (периодичность) проведения работ</w:t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Примечание</w:t>
            </w:r>
            <w:r>
              <w:rPr>
                <w:rStyle w:val="1043"/>
                <w:rFonts w:ascii="PT Astra Serif" w:hAnsi="PT Astra Serif"/>
                <w:sz w:val="24"/>
              </w:rPr>
              <w:footnoteReference w:id="3"/>
            </w:r>
            <w:r/>
          </w:p>
        </w:tc>
      </w:tr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Поддерживать помещения Объекта в надлежащем </w:t>
            </w:r>
            <w:r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 xml:space="preserve">техническом состоянии без ухудшения физического состояния и изменения предмета охраны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течение эксплуатации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93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highlight w:val="white"/>
              </w:rPr>
            </w:pPr>
            <w:r>
              <w:rPr>
                <w:rFonts w:ascii="PT Astra Serif" w:hAnsi="PT Astra Serif"/>
                <w:sz w:val="24"/>
                <w:highlight w:val="white"/>
              </w:rPr>
              <w:t xml:space="preserve">1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. Акт технического состояния от 05.10.2022</w:t>
            </w:r>
            <w:r>
              <w:rPr>
                <w:highlight w:val="white"/>
              </w:rPr>
            </w:r>
            <w:r/>
          </w:p>
          <w:p>
            <w:pPr>
              <w:shd w:val="clear" w:color="FFFFFF" w:fill="FFFFFF" w:themeFill="background1" w:themeColor="background1"/>
              <w:rPr>
                <w:rFonts w:ascii="PT Astra Serif" w:hAnsi="PT Astra Serif"/>
                <w:sz w:val="24"/>
                <w:highlight w:val="white"/>
              </w:rPr>
            </w:pPr>
            <w:r>
              <w:rPr>
                <w:rFonts w:ascii="PT Astra Serif" w:hAnsi="PT Astra Serif"/>
                <w:sz w:val="24"/>
                <w:highlight w:val="white"/>
              </w:rPr>
              <w:t xml:space="preserve">2. Письмо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 </w:t>
              <w:br/>
              <w:t xml:space="preserve">о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т 10.11.2022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 </w:t>
              <w:br/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№ 48-01-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2892</w:t>
            </w:r>
            <w:r>
              <w:rPr>
                <w:rFonts w:ascii="PT Astra Serif" w:hAnsi="PT Astra Serif"/>
                <w:sz w:val="24"/>
                <w:highlight w:val="white"/>
              </w:rPr>
            </w:r>
            <w:r/>
          </w:p>
        </w:tc>
      </w:tr>
    </w:tbl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  <w:highlight w:val="white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  <w:highlight w:val="white"/>
        </w:rPr>
      </w:r>
      <w:r>
        <w:rPr>
          <w:highlight w:val="white"/>
        </w:rPr>
      </w:r>
      <w:r/>
    </w:p>
    <w:p>
      <w:pPr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/>
    </w:p>
    <w:tbl>
      <w:tblPr>
        <w:tblStyle w:val="91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  <w:highlight w:val="none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Приложение № 2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  <w:highlight w:val="none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к охранному обязательству собственника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или иного законного владельца объекта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культурного наследия, включенного в единый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государственный реестр объектов культурного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наследия (памятни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ков истории и культуры)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  <w:t xml:space="preserve">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/>
          </w:p>
        </w:tc>
      </w:tr>
    </w:tbl>
    <w:p>
      <w:pPr>
        <w:ind w:right="-1" w:firstLine="708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6"/>
          <w:szCs w:val="12"/>
        </w:rPr>
      </w:pPr>
      <w:r>
        <w:rPr>
          <w:rFonts w:ascii="PT Astra Serif" w:hAnsi="PT Astra Serif" w:cs="PT Astra Serif" w:eastAsia="PT Astra Serif"/>
          <w:color w:val="000000"/>
          <w:sz w:val="16"/>
          <w:szCs w:val="12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1043"/>
          <w:rFonts w:ascii="PT Astra Serif" w:hAnsi="PT Astra Serif" w:cs="PT Astra Serif" w:eastAsia="PT Astra Serif"/>
          <w:color w:val="000000"/>
          <w:sz w:val="26"/>
          <w:szCs w:val="12"/>
        </w:rPr>
        <w:footnoteReference w:id="4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/>
    </w:p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овия доступа к объекту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1043"/>
                <w:rFonts w:ascii="PT Astra Serif" w:hAnsi="PT Astra Serif" w:cs="PT Astra Serif" w:eastAsia="PT Astra Serif"/>
                <w:color w:val="000000"/>
                <w:sz w:val="24"/>
              </w:rPr>
              <w:footnoteReference w:id="5"/>
            </w:r>
            <w:r/>
          </w:p>
        </w:tc>
      </w:tr>
      <w:tr>
        <w:trPr>
          <w:trHeight w:val="27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Обеспечить доступ гражданам Российской Федерации, иностранным гражданам и лицам без гражданства во внутренние помещения объекта культурного наследия и к объекту культурного наследия в соответствии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с внутренним распорядком, установленным собственником или иным законным владельцем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6"/>
                <w:highlight w:val="yellow"/>
              </w:rPr>
            </w:pPr>
            <w:r>
              <w:rPr>
                <w:rFonts w:ascii="PT Astra Serif" w:hAnsi="PT Astra Serif"/>
                <w:sz w:val="24"/>
                <w:highlight w:val="yellow"/>
              </w:rPr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Письмо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 </w:t>
              <w:br/>
              <w:t xml:space="preserve">о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т 10.11.2022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 </w:t>
              <w:br/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№ 48-01-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2892</w:t>
            </w:r>
            <w:r>
              <w:rPr>
                <w:rFonts w:ascii="PT Astra Serif" w:hAnsi="PT Astra Serif"/>
                <w:sz w:val="24"/>
                <w:highlight w:val="yellow"/>
              </w:rPr>
            </w:r>
            <w:r/>
          </w:p>
        </w:tc>
      </w:tr>
    </w:tbl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sz w:val="12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урного наследия религиозного назначения с 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1043"/>
          <w:rFonts w:ascii="PT Astra Serif" w:hAnsi="PT Astra Serif" w:cs="PT Astra Serif" w:eastAsia="PT Astra Serif"/>
          <w:color w:val="000000"/>
          <w:sz w:val="26"/>
          <w:szCs w:val="12"/>
        </w:rPr>
        <w:footnoteReference w:id="6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669"/>
        <w:gridCol w:w="280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1043"/>
                <w:rFonts w:ascii="PT Astra Serif" w:hAnsi="PT Astra Serif" w:cs="PT Astra Serif" w:eastAsia="PT Astra Serif"/>
                <w:color w:val="000000"/>
                <w:sz w:val="24"/>
              </w:rPr>
              <w:footnoteReference w:id="7"/>
            </w:r>
            <w:r/>
          </w:p>
        </w:tc>
      </w:tr>
      <w:tr>
        <w:trPr>
          <w:trHeight w:val="27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0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2"/>
          <w:footnotePr/>
          <w:endnotePr/>
          <w:type w:val="nextPage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ind w:right="113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/>
    </w:p>
    <w:tbl>
      <w:tblPr>
        <w:tblW w:w="0" w:type="auto"/>
        <w:jc w:val="right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истории и культуры) народов Российской Федерации</w:t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за исключением отдельных объектов археологического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/>
    </w:p>
    <w:p>
      <w:r/>
      <w:r/>
    </w:p>
    <w:p>
      <w:r/>
      <w:r/>
    </w:p>
    <w:p>
      <w:r/>
      <w:bookmarkStart w:id="1" w:name="_GoBack"/>
      <w:r/>
      <w:bookmarkEnd w:id="1"/>
      <w:r>
        <w:rPr>
          <w:lang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93140" cy="4211732"/>
                <wp:effectExtent l="0" t="0" r="0" b="0"/>
                <wp:docPr id="2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2909974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7"/>
                        <a:srcRect l="0" t="0" r="6718" b="0"/>
                        <a:stretch/>
                      </pic:blipFill>
                      <pic:spPr bwMode="auto">
                        <a:xfrm flipH="0" flipV="0">
                          <a:off x="0" y="0"/>
                          <a:ext cx="5893139" cy="42117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4.0pt;height:331.6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lang w:bidi="ar-SA" w:eastAsia="ru-RU"/>
        </w:rPr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5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0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/>
          </w:p>
        </w:tc>
      </w:tr>
    </w:tbl>
    <w:p>
      <w:pPr>
        <w:ind w:left="550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Сведения о наименовании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Доходный дом К. Андреева</w:t>
            </w:r>
            <w:r/>
          </w:p>
        </w:tc>
      </w:tr>
    </w:tbl>
    <w:p>
      <w:pPr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Кон. ХIХ в.</w:t>
            </w:r>
            <w:r/>
          </w:p>
        </w:tc>
      </w:tr>
    </w:tbl>
    <w:p>
      <w:pPr>
        <w:keepNext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место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Постановление Главы Администрации Томской области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 22.12.1993 № 426 «О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дополнительной постановке на государственную охрану памятников истории и культуры Томской области»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я (адрес объекта или при его отсутствии описание местоположения объекта)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 Томск, Октябрьский район,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Обруб (улица), 4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 культурного наследия (памятников истории и культуры) народов Российской Федерации</w:t>
      </w:r>
      <w:r/>
    </w:p>
    <w:tbl>
      <w:tblPr>
        <w:tblW w:w="0" w:type="auto"/>
        <w:tblInd w:w="2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56" w:type="dxa"/>
            <w:textDirection w:val="lrTb"/>
            <w:noWrap w:val="false"/>
          </w:tcPr>
          <w:p>
            <w:pPr>
              <w:ind w:right="57"/>
              <w:jc w:val="both"/>
              <w:rPr>
                <w:rFonts w:ascii="PT Astra Serif" w:hAnsi="PT Astra Serif" w:cs="PT Astra Serif" w:eastAsia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Границы территории объекта культурного наследия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утверждены приказом Де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па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ртамента по культуре и туризму Томской области от 08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.12.2014 № 473/01-09 «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области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(зарегистрированы в ЕГРН под номером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70:21-8.273)</w:t>
            </w:r>
            <w:r/>
          </w:p>
          <w:p>
            <w:pPr>
              <w:jc w:val="center"/>
            </w:pPr>
            <w:r>
              <w:rPr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61343" cy="2646338"/>
                      <wp:effectExtent l="0" t="0" r="0" b="0"/>
                      <wp:docPr id="3" name="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74416471" name="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3861342" cy="264633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304.0pt;height:208.4pt;" stroked="false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lang w:bidi="ar-SA" w:eastAsia="ru-RU"/>
              </w:rPr>
            </w:r>
            <w:r/>
          </w:p>
        </w:tc>
      </w:tr>
    </w:tbl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  <w:highlight w:val="none"/>
        </w:rPr>
      </w:r>
      <w:r>
        <w:rPr>
          <w:rFonts w:ascii="PT Astra Serif" w:hAnsi="PT Astra Serif" w:cs="PT Astra Serif" w:eastAsia="PT Astra Serif"/>
          <w:sz w:val="24"/>
          <w:szCs w:val="24"/>
          <w:highlight w:val="none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  <w:highlight w:val="none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9570"/>
      </w:tblGrid>
      <w:tr>
        <w:trPr/>
        <w:tc>
          <w:tcPr>
            <w:tcW w:w="957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Согласно приказу Комитета по охране объектов культурного наследия Томской области  от 28.10.2022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0179/01-07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«Об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у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тверждении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Доходный дом К. Андреева», кон. ХIХ в.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 Томск, ул. Обруб, 4)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пр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едметом охраны объекта культурного наследия являются: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Градостроительные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характеристики здания: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  <w:t xml:space="preserve">Расположение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здания в строчке застройки квартала, главным южным фасад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 по красной линии улицы Обруб, формирует строчку застройки улицы. Местоположение здания у подножья мыса Воскресенской горы (место основания города) в зоне градостроительного расположения объектов культурного наследия федерального и регионального значения.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Габаритные размеры и силуэт здания, акцентированный аттиками ризалитов главного фасада.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Секторы и направления видовых раскрытий объекта при восприятии застройки с улицы Обруб, Набережной реки Ушайки и переулка Пионерского.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Кирпичная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стена, расположенная по северной и восточной границе территории исторической усадьбы (часть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ограды, включена в объем поздней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дворовой пристройки).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Объемно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-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bCs/>
                <w:sz w:val="24"/>
                <w:szCs w:val="24"/>
              </w:rPr>
              <w:t xml:space="preserve">пространственная композиция здания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bCs/>
                <w:sz w:val="24"/>
                <w:szCs w:val="24"/>
              </w:rPr>
              <w:t xml:space="preserve"> на дату строительства 1893 г.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(без поздних пристроек)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bCs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трехэтажный камен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ный объем с подвалом под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зданием и под внутренним двором. Форма плана Г-образная со сквозным проездом во двор в восточной части здания и выступающим дворовым объемом в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северо-западной части. Высотные отметки по венчающему карнизу основного объема здания.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Конфигурация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(форма) крыши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: над основным объемом – двухскатная. Характер кровельного покрытия – листовой металл с фальцовкой и окраской.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Исторические к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ирпичные парапетные столбики на дворовом северном фасаде.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одосточные трубы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с декором из просечного железа (в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осстановленные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. 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Композиция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и архитектурно-художественное оформление фасадов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на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дату строительства 1893 г.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bCs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выполненное в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кирпичном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стиле с более детальной проработкой главного фасада: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Главный южный фасад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симметричной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трехчастной композиции в 9 осей окон. Композиционные оси акцентированы: две боковые  – слабо выступающими ризалитами с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атт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иками, центральная ось – аттиком и балконом в уровне 3-го этажа. По оси правого ризалита расположен крупный трехцентровый арочный проем сквозного проезда во двор. Северный дворовый фасад асимметричной композиции решен в 6 осей оконных проемов с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расположен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ием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 левой части фасада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крупного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арочного проема сквозного проезда во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двор и в правой части фасада – выступа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ющего дворового объема (часть фасада в 1 ось проемов скрыта поздней пристройкой). Торцевой восточный фасад основного объема «глухой» решен в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виде брандмауэра с треугольным щипцом в уровне крыши. Западный фасад (скрыт пристроенным объемом соседнего здания).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Местоположение, размеры и форма оконных проемов, включая заложенные окна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на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внутренней стен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дворового объема.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Оконные п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роемы с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лучковыми перемычками. Окна подвала небольшие лучковые с приямками, расположенные на южном фасаде основного объема здания.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Местоположение, габариты и форма основных входов: вход в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лестничный блок восточной части дома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–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прямоугольный дверной проем, расположенный на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внутренней стене проезда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Местоположение исторических входов на первый этаж здания – по 2-й и 6-й осям проемов южного фасада.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роем балконной двери с лучковой перемычкой для двухстворчатой двери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фрамугой, расположенный в уровне 3-го этажа по центральной оси главного фасада.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1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Декоративное оформление главного южного фасада, выполненное с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применением фигурного кирпича и элементов из песчаника: венчающий карниз профильн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ый, декорированный «поребриком» и «сухариками»; междуэтажные пояса в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уровне 2-го и 3-го этажей профильные с двухъярусным декором из простых и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ступенчатых «сухариков», выступающий цоколь. Кирпичные аттики прямоугольной формы и их декор: центральный аттик,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оформленный тремя столбиками, профильным карнизом, ступенчатыми «сухариками» и декоративной кладкой фасадной части (крестообразной и с мелкими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углублениями) и два аттика ризалитов с угловыми столбами, декоративной ромбовидной кладкой фасадной части и профильным карнизом со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ступенчатыми «сухариками». Лучковые ниши дверных и оконных проемов первого этажа с замковым камнем на перемычке (песчаник) и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оформление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подоконной части ступенчаты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декор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ом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. Обрамление оконных проемов второго этажа фигурными нишами с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боковыми колонками, замковым камнем на перемычке (песчаник) и ступенчатым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декором на подоконной части. Обрамление оконных проемов третьего этажа нишей с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боковыми колонками, декорированными элементами из песчаника, замковым камнем на перемычке (песчаник) и ступенчатым декором подоконной части. Оформление угловых частей ризалитов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 уровне третьего этажа лопатками со срезкой граней, в уровне второго этажа – аналогичными лопатками с прямоугольной базой, декорированной ступенчатой нишей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 уровне первого этажа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–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трехчетвертными колоннами и кирпичным декором.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Декор обрамления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арки сквозного проезда с клинчатым замковым камнем на перемычке (песчаник) и полуколоннами на боковинах. Балкон 3-го этажа, его конструкция (на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металлических консольных балках) и воссозданное металлическое ограждение на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угловых стойках с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металлической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реше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ткой ажурного рисунка. Декоративное оформление дворового северного фасада: профильный карниз. Декоративное оформление торцевого восточного фасада: элементы декора юго-восточного угла здания, аналогичные декору главного фасада, угловые парапетные столбики.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Материал и характер обработки фасадных поверхностей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на дату строительства здания 1893 г., кирпичная кладка без отделки и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элементы декора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из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песчаника без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отделки (выносные плиты на углах карниза, замковые камни на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перемычках проемов, декоративные детали колонок в декоре оконных проемов).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Колористическое решение фасадов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здания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на дату строительства здания 1893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г., красно-коричневый цвет старого кирпича и светло-желтый цвет песчаника.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Заполнения дверных и оконных проемов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на дату сохранившихся элементов: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кованые подставы для ставней, сохранившиеся на откосах обрамлений оконных и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дверных проемов первого этажа южного фасада и кованые подставы для ворот на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откосах арок сквозного проезда во двор.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Пространственно-планировочная структура интерьеров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 габаритах капитальных конструкций стен и перекрытий на </w:t>
            </w:r>
            <w:r>
              <w:rPr>
                <w:rFonts w:ascii="PT Astra Serif" w:hAnsi="PT Astra Serif" w:cs="PT Astra Serif" w:eastAsia="PT Astra Serif"/>
                <w:b w:val="false"/>
                <w:bCs/>
                <w:sz w:val="24"/>
                <w:szCs w:val="24"/>
              </w:rPr>
              <w:t xml:space="preserve">дату строительства 1893 г.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, включая: крупные зальные помещения первого этажа и подвала,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местоположение, форму и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габаритные размеры крупных аро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чных проемов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и дверных проемов всех помещений здания.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Конструктивные элементы здания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на </w:t>
            </w:r>
            <w:r>
              <w:rPr>
                <w:rFonts w:ascii="PT Astra Serif" w:hAnsi="PT Astra Serif" w:cs="PT Astra Serif" w:eastAsia="PT Astra Serif"/>
                <w:b w:val="false"/>
                <w:bCs/>
                <w:sz w:val="24"/>
                <w:szCs w:val="24"/>
              </w:rPr>
              <w:t xml:space="preserve">дату строительства 1893 г.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: бутовый фундамент, кирпичные стены, кованые металлические связи в конструкциях стен. Кирпичные своды в конструкциях лестничных площадок, кирпичные своды перекрытий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отдельных помещений: цилиндрический свод в помещении подвала (под проездом) с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распалубками в местах расположения проемов, цилиндрический свод перекрытия сквозного проезда во двор, кирпичные своды по металлическим балкам (в помещении северной части подвала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в помещении лестницы северо-западной части здания). Кирпичные перемычки оконных и дверных проемов, крупных арочных проемов (клинчатые, лучковые, трехцентровые). Кирпичные колонны в помещении под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ала.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Лестницы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на дату сохранившихся элементов (за исключением современной облицовки и обшивки): две двухмаршевые лестницы со ступенями из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песчаника по</w:t>
            </w:r>
            <w:r>
              <w:rPr>
                <w:rStyle w:val="10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металлическим косоурам, расположенные в восточной части здания и в северо-западном дворовом объеме. </w:t>
            </w:r>
            <w:r>
              <w:rPr>
                <w:sz w:val="24"/>
              </w:rPr>
            </w:r>
            <w:r/>
          </w:p>
          <w:p>
            <w:pPr>
              <w:pStyle w:val="900"/>
              <w:numPr>
                <w:ilvl w:val="0"/>
                <w:numId w:val="5"/>
              </w:numPr>
              <w:ind w:left="0" w:right="0" w:firstLine="567"/>
              <w:jc w:val="both"/>
              <w:tabs>
                <w:tab w:val="left" w:pos="180" w:leader="none"/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Архитектурно–художественное оформление интерьеров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на дату сохранившихся элементов декоративного оформления: профильные потолочно-стеновые штукатурные тяги в по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м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ещении лестничного блока восточной части здания (восстановленные).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both"/>
        <w:keepLines/>
        <w:keepNext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p>
      <w:pPr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/>
    </w:p>
    <w:p>
      <w:pPr>
        <w:jc w:val="both"/>
        <w:keepLines/>
        <w:keepNext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Охранная зона объектов культурного наследия федерального значения ОЗФ 1-1 согласно Постановлению Администрации Томс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кой области от 14.06.2012 г. № 226а «Об утверждении 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 данных зон охраны».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Всего в паспорте листов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sz w:val="24"/>
              </w:rPr>
              <w:t xml:space="preserve">5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/>
    </w:p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Председатель Комитета по охране объектов культурного наследия Томской области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Е.В. Перетягина</w:t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должность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подпись</w:t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инициалы, фамилия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tbl>
      <w:tblPr>
        <w:tblStyle w:val="91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/>
          </w:p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highlight w:val="none"/>
                    </w:rPr>
                    <w:t xml:space="preserve">1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highlight w:val="none"/>
                    </w:rPr>
                    <w:t xml:space="preserve">1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Дата оформления паспорта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(число, месяц, год)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p>
      <w:pPr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sectPr>
      <w:headerReference w:type="default" r:id="rId13"/>
      <w:headerReference w:type="first" r:id="rId14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41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1043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cs="PT Astra Serif" w:eastAsia="PT Astra Serif"/>
          <w:sz w:val="20"/>
        </w:rPr>
        <w:br/>
      </w:r>
      <w:r>
        <w:rPr>
          <w:rFonts w:ascii="PT Astra Serif" w:hAnsi="PT Astra Serif" w:cs="PT Astra Serif" w:eastAsia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cs="PT Astra Serif" w:eastAsia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cs="PT Astra Serif" w:eastAsia="PT Astra Serif"/>
          <w:sz w:val="20"/>
        </w:rPr>
        <w:br/>
        <w:t xml:space="preserve">№ 73-ФЗ, он является неотъемлемой частью охранного обязательст</w:t>
      </w:r>
      <w:r>
        <w:rPr>
          <w:rFonts w:ascii="PT Astra Serif" w:hAnsi="PT Astra Serif" w:cs="PT Astra Serif" w:eastAsia="PT Astra Serif"/>
          <w:sz w:val="20"/>
        </w:rPr>
        <w:t xml:space="preserve">ва.</w:t>
      </w:r>
      <w:r/>
    </w:p>
  </w:footnote>
  <w:footnote w:id="3">
    <w:p>
      <w:pPr>
        <w:pStyle w:val="1041"/>
        <w:jc w:val="both"/>
      </w:pPr>
      <w:r>
        <w:rPr>
          <w:rStyle w:val="1043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>
        <w:t xml:space="preserve">.</w:t>
      </w:r>
      <w:r/>
    </w:p>
  </w:footnote>
  <w:footnote w:id="4">
    <w:p>
      <w:pPr>
        <w:pStyle w:val="1041"/>
      </w:pPr>
      <w:r>
        <w:rPr>
          <w:rStyle w:val="1043"/>
        </w:rPr>
        <w:footnoteRef/>
      </w:r>
      <w: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>
        <w:t xml:space="preserve">екта.</w:t>
      </w:r>
      <w:r/>
    </w:p>
  </w:footnote>
  <w:footnote w:id="5">
    <w:p>
      <w:pPr>
        <w:pStyle w:val="1041"/>
      </w:pPr>
      <w:r>
        <w:rPr>
          <w:rStyle w:val="1043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/>
    </w:p>
  </w:footnote>
  <w:footnote w:id="6">
    <w:p>
      <w:pPr>
        <w:pStyle w:val="1041"/>
      </w:pPr>
      <w:r>
        <w:rPr>
          <w:rStyle w:val="1043"/>
        </w:rPr>
        <w:footnoteRef/>
      </w:r>
      <w: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/>
    </w:p>
  </w:footnote>
  <w:footnote w:id="7">
    <w:p>
      <w:pPr>
        <w:pStyle w:val="1041"/>
      </w:pPr>
      <w:r>
        <w:rPr>
          <w:rStyle w:val="1043"/>
        </w:rPr>
        <w:footnoteRef/>
      </w:r>
      <w:r>
        <w:t xml:space="preserve"> Указываются реквизиты документов, содержащих мнение собственника либо иного за</w:t>
      </w:r>
      <w:r>
        <w:t xml:space="preserve">конного владельца объекта культурного наследия религиозного назначения и иные сведения,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наследия, включенного</w:t>
      </w:r>
      <w:r>
        <w:t xml:space="preserve">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rStyle w:val="1055"/>
        <w:sz w:val="24"/>
      </w:rPr>
      <w:framePr w:wrap="around" w:vAnchor="text" w:hAnchor="margin" w:xAlign="center" w:y="1"/>
    </w:pPr>
    <w:r>
      <w:rPr>
        <w:rStyle w:val="1055"/>
        <w:sz w:val="24"/>
      </w:rPr>
      <w:fldChar w:fldCharType="begin"/>
    </w:r>
    <w:r>
      <w:rPr>
        <w:rStyle w:val="1055"/>
        <w:sz w:val="24"/>
      </w:rPr>
      <w:instrText xml:space="preserve">PAGE  </w:instrText>
    </w:r>
    <w:r>
      <w:rPr>
        <w:rStyle w:val="1055"/>
        <w:sz w:val="24"/>
      </w:rPr>
      <w:fldChar w:fldCharType="separate"/>
    </w:r>
    <w:r>
      <w:rPr>
        <w:rStyle w:val="1055"/>
        <w:sz w:val="24"/>
      </w:rPr>
      <w:t xml:space="preserve">6</w:t>
    </w:r>
    <w:r>
      <w:rPr>
        <w:rStyle w:val="1055"/>
        <w:sz w:val="24"/>
      </w:rPr>
      <w:fldChar w:fldCharType="end"/>
    </w:r>
    <w:r/>
  </w:p>
  <w:p>
    <w:pPr>
      <w:pStyle w:val="91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rStyle w:val="1055"/>
      </w:rPr>
      <w:framePr w:wrap="around" w:vAnchor="text" w:hAnchor="margin" w:xAlign="center" w:y="1"/>
    </w:pPr>
    <w:r>
      <w:rPr>
        <w:rStyle w:val="1055"/>
      </w:rPr>
      <w:fldChar w:fldCharType="begin"/>
    </w:r>
    <w:r>
      <w:rPr>
        <w:rStyle w:val="1055"/>
      </w:rPr>
      <w:instrText xml:space="preserve">PAGE  </w:instrText>
    </w:r>
    <w:r>
      <w:rPr>
        <w:rStyle w:val="1055"/>
      </w:rPr>
      <w:fldChar w:fldCharType="end"/>
    </w:r>
    <w:r/>
  </w:p>
  <w:p>
    <w:pPr>
      <w:pStyle w:val="91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910"/>
      <w:spacing w:lineRule="exact" w:line="360" w:after="0" w:before="0"/>
      <w:rPr>
        <w:rFonts w:ascii="PT Astra Serif" w:hAnsi="PT Astra Serif" w:cs="PT Astra Serif" w:eastAsia="PT Astra Serif"/>
        <w:sz w:val="30"/>
        <w:szCs w:val="28"/>
        <w:lang w:val="ru-RU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910"/>
      <w:spacing w:after="0" w:before="240"/>
      <w:rPr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b w:val="false"/>
        <w:sz w:val="24"/>
        <w:szCs w:val="24"/>
      </w:rPr>
      <w:fldChar w:fldCharType="separate"/>
    </w:r>
    <w:r>
      <w:rPr>
        <w:b w:val="false"/>
        <w:sz w:val="24"/>
        <w:szCs w:val="24"/>
      </w:rPr>
      <w:t xml:space="preserve">12</w:t>
    </w:r>
    <w:r>
      <w:rPr>
        <w:b w:val="false"/>
        <w:sz w:val="24"/>
        <w:szCs w:val="24"/>
      </w:rPr>
      <w:fldChar w:fldCharType="end"/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rFonts w:eastAsia="PT Astra Serif"/>
        <w:b w:val="false"/>
        <w:sz w:val="24"/>
        <w:szCs w:val="24"/>
        <w:lang w:val="ru-RU"/>
      </w:rPr>
    </w:pPr>
    <w:r>
      <w:rPr>
        <w:rFonts w:eastAsia="PT Astra Serif"/>
        <w:b w:val="false"/>
        <w:sz w:val="24"/>
        <w:szCs w:val="24"/>
        <w:lang w:val="ru-RU"/>
      </w:rPr>
      <w:t xml:space="preserve">10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90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90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90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90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90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90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90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90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90"/>
        <w:ind w:left="5040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90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90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90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90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90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90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90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90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90"/>
        <w:ind w:left="5040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90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90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90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90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90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90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90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90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90"/>
        <w:ind w:left="504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8" w:default="1">
    <w:name w:val="Normal"/>
    <w:qFormat/>
  </w:style>
  <w:style w:type="paragraph" w:styleId="859">
    <w:name w:val="Heading 1"/>
    <w:basedOn w:val="858"/>
    <w:next w:val="858"/>
    <w:link w:val="1074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860">
    <w:name w:val="Heading 2"/>
    <w:basedOn w:val="858"/>
    <w:next w:val="858"/>
    <w:link w:val="1072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861">
    <w:name w:val="Heading 3"/>
    <w:link w:val="8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862">
    <w:name w:val="Heading 4"/>
    <w:link w:val="89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863">
    <w:name w:val="Heading 5"/>
    <w:link w:val="89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864">
    <w:name w:val="Heading 6"/>
    <w:link w:val="896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865">
    <w:name w:val="Heading 7"/>
    <w:link w:val="897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66">
    <w:name w:val="Heading 8"/>
    <w:link w:val="898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867">
    <w:name w:val="Heading 9"/>
    <w:link w:val="89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68" w:default="1">
    <w:name w:val="Default Paragraph Font"/>
    <w:uiPriority w:val="1"/>
    <w:semiHidden/>
    <w:unhideWhenUsed/>
  </w:style>
  <w:style w:type="table" w:styleId="8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0" w:default="1">
    <w:name w:val="No List"/>
    <w:uiPriority w:val="99"/>
    <w:semiHidden/>
    <w:unhideWhenUsed/>
  </w:style>
  <w:style w:type="character" w:styleId="871" w:customStyle="1">
    <w:name w:val="Heading 3 Char"/>
    <w:basedOn w:val="868"/>
    <w:uiPriority w:val="9"/>
    <w:rPr>
      <w:rFonts w:ascii="Arial" w:hAnsi="Arial" w:cs="Arial" w:eastAsia="Arial"/>
      <w:sz w:val="30"/>
      <w:szCs w:val="30"/>
    </w:rPr>
  </w:style>
  <w:style w:type="character" w:styleId="872" w:customStyle="1">
    <w:name w:val="Heading 4 Char"/>
    <w:basedOn w:val="868"/>
    <w:uiPriority w:val="9"/>
    <w:rPr>
      <w:rFonts w:ascii="Arial" w:hAnsi="Arial" w:cs="Arial" w:eastAsia="Arial"/>
      <w:b/>
      <w:bCs/>
      <w:sz w:val="26"/>
      <w:szCs w:val="26"/>
    </w:rPr>
  </w:style>
  <w:style w:type="character" w:styleId="873" w:customStyle="1">
    <w:name w:val="Heading 5 Char"/>
    <w:basedOn w:val="868"/>
    <w:uiPriority w:val="9"/>
    <w:rPr>
      <w:rFonts w:ascii="Arial" w:hAnsi="Arial" w:cs="Arial" w:eastAsia="Arial"/>
      <w:b/>
      <w:bCs/>
      <w:sz w:val="24"/>
      <w:szCs w:val="24"/>
    </w:rPr>
  </w:style>
  <w:style w:type="character" w:styleId="874" w:customStyle="1">
    <w:name w:val="Heading 6 Char"/>
    <w:basedOn w:val="868"/>
    <w:uiPriority w:val="9"/>
    <w:rPr>
      <w:rFonts w:ascii="Arial" w:hAnsi="Arial" w:cs="Arial" w:eastAsia="Arial"/>
      <w:b/>
      <w:bCs/>
      <w:sz w:val="22"/>
      <w:szCs w:val="22"/>
    </w:rPr>
  </w:style>
  <w:style w:type="character" w:styleId="875" w:customStyle="1">
    <w:name w:val="Heading 7 Char"/>
    <w:basedOn w:val="86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76" w:customStyle="1">
    <w:name w:val="Heading 8 Char"/>
    <w:basedOn w:val="868"/>
    <w:uiPriority w:val="9"/>
    <w:rPr>
      <w:rFonts w:ascii="Arial" w:hAnsi="Arial" w:cs="Arial" w:eastAsia="Arial"/>
      <w:i/>
      <w:iCs/>
      <w:sz w:val="22"/>
      <w:szCs w:val="22"/>
    </w:rPr>
  </w:style>
  <w:style w:type="character" w:styleId="877" w:customStyle="1">
    <w:name w:val="Heading 9 Char"/>
    <w:basedOn w:val="868"/>
    <w:uiPriority w:val="9"/>
    <w:rPr>
      <w:rFonts w:ascii="Arial" w:hAnsi="Arial" w:cs="Arial" w:eastAsia="Arial"/>
      <w:i/>
      <w:iCs/>
      <w:sz w:val="21"/>
      <w:szCs w:val="21"/>
    </w:rPr>
  </w:style>
  <w:style w:type="character" w:styleId="878" w:customStyle="1">
    <w:name w:val="Title Char"/>
    <w:basedOn w:val="868"/>
    <w:uiPriority w:val="10"/>
    <w:rPr>
      <w:sz w:val="48"/>
      <w:szCs w:val="48"/>
    </w:rPr>
  </w:style>
  <w:style w:type="character" w:styleId="879" w:customStyle="1">
    <w:name w:val="Subtitle Char"/>
    <w:basedOn w:val="868"/>
    <w:uiPriority w:val="11"/>
    <w:rPr>
      <w:sz w:val="24"/>
      <w:szCs w:val="24"/>
    </w:rPr>
  </w:style>
  <w:style w:type="character" w:styleId="880" w:customStyle="1">
    <w:name w:val="Quote Char"/>
    <w:uiPriority w:val="29"/>
    <w:rPr>
      <w:i/>
    </w:rPr>
  </w:style>
  <w:style w:type="character" w:styleId="881" w:customStyle="1">
    <w:name w:val="Intense Quote Char"/>
    <w:uiPriority w:val="30"/>
    <w:rPr>
      <w:i/>
    </w:rPr>
  </w:style>
  <w:style w:type="character" w:styleId="882" w:customStyle="1">
    <w:name w:val="Footer Char"/>
    <w:basedOn w:val="868"/>
    <w:uiPriority w:val="99"/>
  </w:style>
  <w:style w:type="character" w:styleId="883" w:customStyle="1">
    <w:name w:val="Footnote Text Char"/>
    <w:uiPriority w:val="99"/>
    <w:rPr>
      <w:sz w:val="18"/>
    </w:rPr>
  </w:style>
  <w:style w:type="character" w:styleId="884" w:customStyle="1">
    <w:name w:val="Endnote Text Char"/>
    <w:uiPriority w:val="99"/>
    <w:rPr>
      <w:sz w:val="20"/>
    </w:rPr>
  </w:style>
  <w:style w:type="paragraph" w:styleId="885">
    <w:name w:val="Caption"/>
    <w:basedOn w:val="858"/>
    <w:next w:val="858"/>
    <w:rPr>
      <w:b/>
      <w:sz w:val="28"/>
    </w:rPr>
    <w:pPr>
      <w:jc w:val="center"/>
    </w:pPr>
  </w:style>
  <w:style w:type="character" w:styleId="886" w:customStyle="1">
    <w:name w:val="Caption Char"/>
    <w:uiPriority w:val="99"/>
  </w:style>
  <w:style w:type="paragraph" w:styleId="887">
    <w:name w:val="endnote text"/>
    <w:basedOn w:val="858"/>
    <w:link w:val="888"/>
    <w:uiPriority w:val="99"/>
    <w:semiHidden/>
    <w:unhideWhenUsed/>
    <w:rPr>
      <w:sz w:val="20"/>
    </w:rPr>
  </w:style>
  <w:style w:type="character" w:styleId="888" w:customStyle="1">
    <w:name w:val="Текст концевой сноски Знак"/>
    <w:link w:val="887"/>
    <w:uiPriority w:val="99"/>
    <w:rPr>
      <w:sz w:val="20"/>
    </w:rPr>
  </w:style>
  <w:style w:type="character" w:styleId="889">
    <w:name w:val="endnote reference"/>
    <w:basedOn w:val="868"/>
    <w:uiPriority w:val="99"/>
    <w:semiHidden/>
    <w:unhideWhenUsed/>
    <w:rPr>
      <w:vertAlign w:val="superscript"/>
    </w:rPr>
  </w:style>
  <w:style w:type="paragraph" w:styleId="890">
    <w:name w:val="table of figures"/>
    <w:basedOn w:val="858"/>
    <w:next w:val="858"/>
    <w:uiPriority w:val="99"/>
    <w:unhideWhenUsed/>
  </w:style>
  <w:style w:type="character" w:styleId="891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92" w:customStyle="1">
    <w:name w:val="Heading 2 Char"/>
    <w:uiPriority w:val="9"/>
    <w:rPr>
      <w:rFonts w:ascii="Arial" w:hAnsi="Arial" w:cs="Arial" w:eastAsia="Arial"/>
      <w:sz w:val="34"/>
    </w:rPr>
  </w:style>
  <w:style w:type="character" w:styleId="893" w:customStyle="1">
    <w:name w:val="Заголовок 3 Знак"/>
    <w:link w:val="861"/>
    <w:uiPriority w:val="9"/>
    <w:rPr>
      <w:rFonts w:ascii="Arial" w:hAnsi="Arial" w:cs="Arial" w:eastAsia="Arial"/>
      <w:sz w:val="30"/>
      <w:szCs w:val="30"/>
    </w:rPr>
  </w:style>
  <w:style w:type="character" w:styleId="894" w:customStyle="1">
    <w:name w:val="Заголовок 4 Знак"/>
    <w:link w:val="862"/>
    <w:uiPriority w:val="9"/>
    <w:rPr>
      <w:rFonts w:ascii="Arial" w:hAnsi="Arial" w:cs="Arial" w:eastAsia="Arial"/>
      <w:b/>
      <w:bCs/>
      <w:sz w:val="26"/>
      <w:szCs w:val="26"/>
    </w:rPr>
  </w:style>
  <w:style w:type="character" w:styleId="895" w:customStyle="1">
    <w:name w:val="Заголовок 5 Знак"/>
    <w:link w:val="863"/>
    <w:uiPriority w:val="9"/>
    <w:rPr>
      <w:rFonts w:ascii="Arial" w:hAnsi="Arial" w:cs="Arial" w:eastAsia="Arial"/>
      <w:b/>
      <w:bCs/>
      <w:sz w:val="24"/>
      <w:szCs w:val="24"/>
    </w:rPr>
  </w:style>
  <w:style w:type="character" w:styleId="896" w:customStyle="1">
    <w:name w:val="Заголовок 6 Знак"/>
    <w:link w:val="864"/>
    <w:uiPriority w:val="9"/>
    <w:rPr>
      <w:rFonts w:ascii="Arial" w:hAnsi="Arial" w:cs="Arial" w:eastAsia="Arial"/>
      <w:b/>
      <w:bCs/>
      <w:sz w:val="22"/>
      <w:szCs w:val="22"/>
    </w:rPr>
  </w:style>
  <w:style w:type="character" w:styleId="897" w:customStyle="1">
    <w:name w:val="Заголовок 7 Знак"/>
    <w:link w:val="86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98" w:customStyle="1">
    <w:name w:val="Заголовок 8 Знак"/>
    <w:link w:val="866"/>
    <w:uiPriority w:val="9"/>
    <w:rPr>
      <w:rFonts w:ascii="Arial" w:hAnsi="Arial" w:cs="Arial" w:eastAsia="Arial"/>
      <w:i/>
      <w:iCs/>
      <w:sz w:val="22"/>
      <w:szCs w:val="22"/>
    </w:rPr>
  </w:style>
  <w:style w:type="character" w:styleId="899" w:customStyle="1">
    <w:name w:val="Заголовок 9 Знак"/>
    <w:link w:val="867"/>
    <w:uiPriority w:val="9"/>
    <w:rPr>
      <w:rFonts w:ascii="Arial" w:hAnsi="Arial" w:cs="Arial" w:eastAsia="Arial"/>
      <w:i/>
      <w:iCs/>
      <w:sz w:val="21"/>
      <w:szCs w:val="21"/>
    </w:rPr>
  </w:style>
  <w:style w:type="paragraph" w:styleId="900">
    <w:name w:val="List Paragraph"/>
    <w:basedOn w:val="858"/>
    <w:rPr>
      <w:sz w:val="20"/>
    </w:rPr>
    <w:pPr>
      <w:contextualSpacing w:val="true"/>
      <w:ind w:left="720"/>
    </w:pPr>
  </w:style>
  <w:style w:type="paragraph" w:styleId="901">
    <w:name w:val="No Spacing"/>
    <w:rPr>
      <w:sz w:val="26"/>
      <w:lang w:bidi="ar-SA" w:eastAsia="ru-RU"/>
    </w:rPr>
    <w:pPr>
      <w:ind w:firstLine="709"/>
    </w:pPr>
  </w:style>
  <w:style w:type="paragraph" w:styleId="902">
    <w:name w:val="Title"/>
    <w:link w:val="90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903" w:customStyle="1">
    <w:name w:val="Название Знак"/>
    <w:link w:val="902"/>
    <w:uiPriority w:val="10"/>
    <w:rPr>
      <w:sz w:val="48"/>
      <w:szCs w:val="48"/>
    </w:rPr>
  </w:style>
  <w:style w:type="paragraph" w:styleId="904">
    <w:name w:val="Subtitle"/>
    <w:link w:val="905"/>
    <w:qFormat/>
    <w:uiPriority w:val="11"/>
    <w:rPr>
      <w:sz w:val="24"/>
      <w:szCs w:val="24"/>
    </w:rPr>
    <w:pPr>
      <w:spacing w:after="200" w:before="200"/>
    </w:pPr>
  </w:style>
  <w:style w:type="character" w:styleId="905" w:customStyle="1">
    <w:name w:val="Подзаголовок Знак"/>
    <w:link w:val="904"/>
    <w:uiPriority w:val="11"/>
    <w:rPr>
      <w:sz w:val="24"/>
      <w:szCs w:val="24"/>
    </w:rPr>
  </w:style>
  <w:style w:type="paragraph" w:styleId="906">
    <w:name w:val="Quote"/>
    <w:link w:val="907"/>
    <w:qFormat/>
    <w:uiPriority w:val="29"/>
    <w:rPr>
      <w:i/>
    </w:rPr>
    <w:pPr>
      <w:ind w:left="720" w:right="720"/>
    </w:pPr>
  </w:style>
  <w:style w:type="character" w:styleId="907" w:customStyle="1">
    <w:name w:val="Цитата 2 Знак"/>
    <w:link w:val="906"/>
    <w:uiPriority w:val="29"/>
    <w:rPr>
      <w:i/>
    </w:rPr>
  </w:style>
  <w:style w:type="paragraph" w:styleId="908">
    <w:name w:val="Intense Quote"/>
    <w:link w:val="909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909" w:customStyle="1">
    <w:name w:val="Выделенная цитата Знак"/>
    <w:link w:val="908"/>
    <w:uiPriority w:val="30"/>
    <w:rPr>
      <w:i/>
    </w:rPr>
  </w:style>
  <w:style w:type="paragraph" w:styleId="910">
    <w:name w:val="Header"/>
    <w:basedOn w:val="858"/>
    <w:link w:val="1076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911" w:customStyle="1">
    <w:name w:val="Header Char"/>
    <w:uiPriority w:val="99"/>
  </w:style>
  <w:style w:type="paragraph" w:styleId="912">
    <w:name w:val="Footer"/>
    <w:basedOn w:val="858"/>
    <w:link w:val="913"/>
    <w:pPr>
      <w:tabs>
        <w:tab w:val="center" w:pos="4153" w:leader="none"/>
        <w:tab w:val="right" w:pos="8306" w:leader="none"/>
      </w:tabs>
    </w:pPr>
  </w:style>
  <w:style w:type="character" w:styleId="913" w:customStyle="1">
    <w:name w:val="Нижний колонтитул Знак"/>
    <w:link w:val="912"/>
    <w:uiPriority w:val="99"/>
  </w:style>
  <w:style w:type="table" w:styleId="914">
    <w:name w:val="Table Grid"/>
    <w:basedOn w:val="869"/>
    <w:tblPr/>
  </w:style>
  <w:style w:type="table" w:styleId="915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6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7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18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19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921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92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93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3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3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3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3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35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4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4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42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43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44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45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46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47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48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49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50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51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52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53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54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55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56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57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58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59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60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61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62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63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64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65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66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67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68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69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70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7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7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7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7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7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7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77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7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7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8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8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8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8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84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5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6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7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8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9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0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1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2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3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4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5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6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7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8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99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00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01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02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03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04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05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00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00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00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00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01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01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012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1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1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1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01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1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01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019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0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1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2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3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4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5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6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7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8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29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30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31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32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33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034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035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036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37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38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39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040">
    <w:name w:val="Hyperlink"/>
    <w:rPr>
      <w:color w:val="0000FF"/>
      <w:u w:val="single"/>
    </w:rPr>
  </w:style>
  <w:style w:type="paragraph" w:styleId="1041">
    <w:name w:val="footnote text"/>
    <w:link w:val="1042"/>
    <w:uiPriority w:val="99"/>
    <w:semiHidden/>
    <w:unhideWhenUsed/>
    <w:rPr>
      <w:sz w:val="18"/>
    </w:rPr>
    <w:pPr>
      <w:spacing w:after="40"/>
    </w:pPr>
  </w:style>
  <w:style w:type="character" w:styleId="1042" w:customStyle="1">
    <w:name w:val="Текст сноски Знак"/>
    <w:link w:val="1041"/>
    <w:uiPriority w:val="99"/>
    <w:rPr>
      <w:sz w:val="18"/>
    </w:rPr>
  </w:style>
  <w:style w:type="character" w:styleId="1043">
    <w:name w:val="footnote reference"/>
    <w:uiPriority w:val="99"/>
    <w:unhideWhenUsed/>
    <w:rPr>
      <w:vertAlign w:val="superscript"/>
    </w:rPr>
  </w:style>
  <w:style w:type="paragraph" w:styleId="1044">
    <w:name w:val="toc 1"/>
    <w:uiPriority w:val="39"/>
    <w:unhideWhenUsed/>
    <w:pPr>
      <w:spacing w:after="57"/>
    </w:pPr>
  </w:style>
  <w:style w:type="paragraph" w:styleId="1045">
    <w:name w:val="toc 2"/>
    <w:uiPriority w:val="39"/>
    <w:unhideWhenUsed/>
    <w:pPr>
      <w:ind w:left="283"/>
      <w:spacing w:after="57"/>
    </w:pPr>
  </w:style>
  <w:style w:type="paragraph" w:styleId="1046">
    <w:name w:val="toc 3"/>
    <w:uiPriority w:val="39"/>
    <w:unhideWhenUsed/>
    <w:pPr>
      <w:ind w:left="567"/>
      <w:spacing w:after="57"/>
    </w:pPr>
  </w:style>
  <w:style w:type="paragraph" w:styleId="1047">
    <w:name w:val="toc 4"/>
    <w:uiPriority w:val="39"/>
    <w:unhideWhenUsed/>
    <w:pPr>
      <w:ind w:left="850"/>
      <w:spacing w:after="57"/>
    </w:pPr>
  </w:style>
  <w:style w:type="paragraph" w:styleId="1048">
    <w:name w:val="toc 5"/>
    <w:uiPriority w:val="39"/>
    <w:unhideWhenUsed/>
    <w:pPr>
      <w:ind w:left="1134"/>
      <w:spacing w:after="57"/>
    </w:pPr>
  </w:style>
  <w:style w:type="paragraph" w:styleId="1049">
    <w:name w:val="toc 6"/>
    <w:uiPriority w:val="39"/>
    <w:unhideWhenUsed/>
    <w:pPr>
      <w:ind w:left="1417"/>
      <w:spacing w:after="57"/>
    </w:pPr>
  </w:style>
  <w:style w:type="paragraph" w:styleId="1050">
    <w:name w:val="toc 7"/>
    <w:uiPriority w:val="39"/>
    <w:unhideWhenUsed/>
    <w:pPr>
      <w:ind w:left="1701"/>
      <w:spacing w:after="57"/>
    </w:pPr>
  </w:style>
  <w:style w:type="paragraph" w:styleId="1051">
    <w:name w:val="toc 8"/>
    <w:uiPriority w:val="39"/>
    <w:unhideWhenUsed/>
    <w:pPr>
      <w:ind w:left="1984"/>
      <w:spacing w:after="57"/>
    </w:pPr>
  </w:style>
  <w:style w:type="paragraph" w:styleId="1052">
    <w:name w:val="toc 9"/>
    <w:uiPriority w:val="39"/>
    <w:unhideWhenUsed/>
    <w:pPr>
      <w:ind w:left="2268"/>
      <w:spacing w:after="57"/>
    </w:pPr>
  </w:style>
  <w:style w:type="paragraph" w:styleId="1053">
    <w:name w:val="TOC Heading"/>
    <w:uiPriority w:val="39"/>
    <w:unhideWhenUsed/>
  </w:style>
  <w:style w:type="paragraph" w:styleId="1054">
    <w:name w:val="Body Text"/>
    <w:basedOn w:val="858"/>
    <w:next w:val="858"/>
    <w:pPr>
      <w:jc w:val="both"/>
    </w:pPr>
  </w:style>
  <w:style w:type="character" w:styleId="1055">
    <w:name w:val="page number"/>
    <w:basedOn w:val="868"/>
  </w:style>
  <w:style w:type="paragraph" w:styleId="1056">
    <w:name w:val="Body Text 2"/>
    <w:basedOn w:val="858"/>
    <w:pPr>
      <w:ind w:right="5102"/>
      <w:jc w:val="center"/>
      <w:spacing w:before="120"/>
    </w:pPr>
  </w:style>
  <w:style w:type="paragraph" w:styleId="1057" w:customStyle="1">
    <w:name w:val="Обращение"/>
    <w:basedOn w:val="858"/>
    <w:next w:val="858"/>
    <w:rPr>
      <w:b/>
    </w:rPr>
    <w:pPr>
      <w:jc w:val="center"/>
      <w:spacing w:after="120" w:before="240"/>
    </w:pPr>
  </w:style>
  <w:style w:type="paragraph" w:styleId="1058" w:customStyle="1">
    <w:name w:val="Адресные реквизиты"/>
    <w:basedOn w:val="1054"/>
    <w:next w:val="1054"/>
    <w:rPr>
      <w:sz w:val="16"/>
    </w:rPr>
    <w:pPr>
      <w:jc w:val="left"/>
    </w:pPr>
  </w:style>
  <w:style w:type="paragraph" w:styleId="1059" w:customStyle="1">
    <w:name w:val="Адресат"/>
    <w:basedOn w:val="858"/>
    <w:rPr>
      <w:b/>
    </w:rPr>
    <w:pPr>
      <w:spacing w:before="120"/>
    </w:pPr>
  </w:style>
  <w:style w:type="paragraph" w:styleId="1060">
    <w:name w:val="Body Text 3"/>
    <w:basedOn w:val="858"/>
    <w:rPr>
      <w:sz w:val="28"/>
    </w:rPr>
    <w:pPr>
      <w:spacing w:before="120"/>
      <w:tabs>
        <w:tab w:val="left" w:pos="7371" w:leader="none"/>
      </w:tabs>
    </w:pPr>
  </w:style>
  <w:style w:type="table" w:styleId="1061" w:customStyle="1">
    <w:name w:val="Сетка таблицы1"/>
    <w:basedOn w:val="869"/>
    <w:next w:val="914"/>
    <w:rPr>
      <w:rFonts w:ascii="Calibri" w:hAnsi="Calibri"/>
    </w:rPr>
    <w:tblPr/>
  </w:style>
  <w:style w:type="paragraph" w:styleId="1062" w:customStyle="1">
    <w:name w:val="ConsPlusNormal"/>
    <w:rPr>
      <w:sz w:val="24"/>
      <w:szCs w:val="24"/>
      <w:lang w:bidi="ar-SA" w:eastAsia="ru-RU"/>
    </w:rPr>
  </w:style>
  <w:style w:type="character" w:styleId="1063" w:customStyle="1">
    <w:name w:val="Основной текст_"/>
    <w:link w:val="1066"/>
    <w:rPr>
      <w:spacing w:val="-2"/>
      <w:sz w:val="26"/>
      <w:szCs w:val="26"/>
      <w:shd w:val="clear" w:fill="FFFFFF" w:color="auto"/>
    </w:rPr>
  </w:style>
  <w:style w:type="character" w:styleId="1064" w:customStyle="1">
    <w:name w:val="Основной текст (7)_"/>
    <w:link w:val="1067"/>
    <w:rPr>
      <w:b/>
      <w:bCs/>
      <w:spacing w:val="-3"/>
      <w:sz w:val="26"/>
      <w:szCs w:val="26"/>
      <w:shd w:val="clear" w:fill="FFFFFF" w:color="auto"/>
    </w:rPr>
  </w:style>
  <w:style w:type="character" w:styleId="1065" w:customStyle="1">
    <w:name w:val="Основной текст (10)_"/>
    <w:link w:val="1068"/>
    <w:rPr>
      <w:i/>
      <w:iCs/>
      <w:spacing w:val="-4"/>
      <w:shd w:val="clear" w:fill="FFFFFF" w:color="auto"/>
    </w:rPr>
  </w:style>
  <w:style w:type="paragraph" w:styleId="1066" w:customStyle="1">
    <w:name w:val="Основной текст2"/>
    <w:basedOn w:val="858"/>
    <w:link w:val="1063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067" w:customStyle="1">
    <w:name w:val="Основной текст (7)"/>
    <w:basedOn w:val="858"/>
    <w:link w:val="1064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68" w:customStyle="1">
    <w:name w:val="Основной текст (10)"/>
    <w:basedOn w:val="858"/>
    <w:link w:val="1065"/>
    <w:rPr>
      <w:i/>
      <w:iCs/>
      <w:spacing w:val="-4"/>
      <w:sz w:val="20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069">
    <w:name w:val="Normal (Web)"/>
    <w:basedOn w:val="858"/>
    <w:rPr>
      <w:sz w:val="24"/>
      <w:szCs w:val="24"/>
    </w:rPr>
    <w:pPr>
      <w:spacing w:after="100" w:afterAutospacing="1" w:before="100" w:beforeAutospacing="1"/>
    </w:pPr>
  </w:style>
  <w:style w:type="paragraph" w:styleId="1070" w:customStyle="1">
    <w:name w:val="Знак Знак Знак Знак Знак Знак Знак Знак Знак Знак Знак Знак Знак Знак Знак1 Знак Знак Знак Знак"/>
    <w:basedOn w:val="858"/>
    <w:next w:val="860"/>
    <w:rPr>
      <w:sz w:val="24"/>
      <w:lang w:val="en-US"/>
    </w:rPr>
    <w:pPr>
      <w:spacing w:lineRule="exact" w:line="240" w:after="160"/>
    </w:pPr>
  </w:style>
  <w:style w:type="paragraph" w:styleId="1071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072" w:customStyle="1">
    <w:name w:val="Заголовок 2 Знак"/>
    <w:link w:val="860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073" w:customStyle="1">
    <w:name w:val="Исполнитель"/>
    <w:basedOn w:val="858"/>
    <w:rPr>
      <w:sz w:val="20"/>
    </w:rPr>
  </w:style>
  <w:style w:type="character" w:styleId="1074" w:customStyle="1">
    <w:name w:val="Заголовок 1 Знак"/>
    <w:link w:val="859"/>
    <w:rPr>
      <w:rFonts w:ascii="Cambria" w:hAnsi="Cambria"/>
      <w:b/>
      <w:bCs/>
      <w:sz w:val="32"/>
      <w:szCs w:val="32"/>
    </w:rPr>
  </w:style>
  <w:style w:type="paragraph" w:styleId="1075" w:customStyle="1">
    <w:name w:val="Обычный1"/>
    <w:rPr>
      <w:lang w:bidi="ar-SA" w:eastAsia="ru-RU"/>
    </w:rPr>
  </w:style>
  <w:style w:type="character" w:styleId="1076" w:customStyle="1">
    <w:name w:val="Верхний колонтитул Знак"/>
    <w:link w:val="910"/>
    <w:rPr>
      <w:b/>
      <w:caps/>
      <w:sz w:val="28"/>
    </w:rPr>
  </w:style>
  <w:style w:type="paragraph" w:styleId="1077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078" w:customStyle="1">
    <w:name w:val="Основной текст (6)_"/>
    <w:link w:val="1079"/>
    <w:rPr>
      <w:b/>
      <w:bCs/>
      <w:i/>
      <w:iCs/>
      <w:sz w:val="26"/>
      <w:szCs w:val="26"/>
      <w:shd w:val="clear" w:fill="FFFFFF" w:color="auto"/>
    </w:rPr>
  </w:style>
  <w:style w:type="paragraph" w:styleId="1079" w:customStyle="1">
    <w:name w:val="Основной текст (6)"/>
    <w:basedOn w:val="858"/>
    <w:link w:val="1078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080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081">
    <w:name w:val="Balloon Text"/>
    <w:basedOn w:val="858"/>
    <w:link w:val="1082"/>
    <w:rPr>
      <w:rFonts w:ascii="Tahoma" w:hAnsi="Tahoma"/>
      <w:sz w:val="16"/>
      <w:szCs w:val="16"/>
      <w:lang w:val="en-US"/>
    </w:rPr>
  </w:style>
  <w:style w:type="character" w:styleId="1082" w:customStyle="1">
    <w:name w:val="Текст выноски Знак"/>
    <w:link w:val="1081"/>
    <w:rPr>
      <w:rFonts w:ascii="Tahoma" w:hAnsi="Tahoma"/>
      <w:sz w:val="16"/>
      <w:szCs w:val="16"/>
    </w:rPr>
  </w:style>
  <w:style w:type="character" w:styleId="1083" w:customStyle="1">
    <w:name w:val="Font Style21"/>
    <w:basedOn w:val="868"/>
    <w:rPr>
      <w:rFonts w:ascii="Times New Roman" w:hAnsi="Times New Roman"/>
      <w:sz w:val="26"/>
      <w:szCs w:val="26"/>
    </w:rPr>
  </w:style>
  <w:style w:type="character" w:styleId="1084">
    <w:name w:val="Strong"/>
    <w:rPr>
      <w:b/>
    </w:rPr>
  </w:style>
  <w:style w:type="paragraph" w:styleId="1085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86">
    <w:name w:val="Body Text Indent 2"/>
    <w:rPr>
      <w:sz w:val="26"/>
      <w:lang w:val="en-US" w:bidi="ar-SA"/>
    </w:rPr>
    <w:pPr>
      <w:ind w:left="283" w:firstLine="709"/>
      <w:spacing w:lineRule="auto" w:line="480"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87" w:customStyle="1">
    <w:name w:val="ConsPlusNonformat"/>
    <w:rPr>
      <w:rFonts w:ascii="Courier New" w:hAnsi="Courier New" w:cs="Courier New"/>
      <w:sz w:val="20"/>
      <w:szCs w:val="20"/>
      <w:lang w:bidi="ar-SA" w:eastAsia="ru-RU"/>
    </w:rPr>
    <w:pPr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1088" w:customStyle="1">
    <w:name w:val="Сетка таблицы2"/>
    <w:uiPriority w:val="59"/>
    <w:rPr>
      <w:rFonts w:ascii="Calibri" w:hAnsi="Calibri" w:cs="Calibri" w:eastAsia="Calibri"/>
      <w:lang w:bidi="ar-SA" w:eastAsia="ru-RU"/>
    </w:rPr>
    <w:pPr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1089">
    <w:name w:val="Body Text Indent 3"/>
    <w:rPr>
      <w:sz w:val="16"/>
      <w:szCs w:val="16"/>
      <w:lang w:val="en-US" w:bidi="ar-SA"/>
    </w:rPr>
    <w:pPr>
      <w:ind w:left="283" w:firstLine="709"/>
      <w:spacing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90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character" w:styleId="1091">
    <w:name w:val="Строгий"/>
    <w:rPr>
      <w:b/>
      <w:bCs/>
    </w:rPr>
  </w:style>
  <w:style w:type="paragraph" w:styleId="1092">
    <w:name w:val="Абзац списка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93">
    <w:name w:val="Style4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94">
    <w:name w:val="Style1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27"/>
      <w:jc w:val="both"/>
      <w:keepLines w:val="false"/>
      <w:keepNext w:val="false"/>
      <w:pageBreakBefore w:val="false"/>
      <w:spacing w:lineRule="exact" w:line="306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footer" Target="footer1.xml" /><Relationship Id="rId16" Type="http://schemas.openxmlformats.org/officeDocument/2006/relationships/customXml" Target="../customXml/item1.xml" /><Relationship Id="rId17" Type="http://schemas.openxmlformats.org/officeDocument/2006/relationships/image" Target="media/image2.jpg"/><Relationship Id="rId18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80</cp:revision>
  <dcterms:created xsi:type="dcterms:W3CDTF">2022-04-28T03:14:00Z</dcterms:created>
  <dcterms:modified xsi:type="dcterms:W3CDTF">2022-12-15T07:59:54Z</dcterms:modified>
</cp:coreProperties>
</file>