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contextualSpacing w:val="true"/>
        <w:ind w:firstLine="708"/>
        <w:jc w:val="both"/>
        <w:rPr>
          <w:rFonts w:ascii="PT Astra Serif" w:hAnsi="PT Astra Serif" w:cs="PT Astra Serif" w:eastAsia="PT Astra Serif"/>
          <w:sz w:val="24"/>
          <w:szCs w:val="24"/>
          <w:lang w:val="en-US"/>
        </w:rPr>
      </w:pPr>
      <w:r>
        <w:rPr>
          <w:rFonts w:ascii="PT Astra Serif" w:hAnsi="PT Astra Serif" w:cs="PT Astra Serif" w:eastAsia="PT Astra Serif"/>
          <w:sz w:val="24"/>
          <w:szCs w:val="24"/>
          <w:lang w:val="en-US"/>
        </w:rPr>
      </w:r>
      <w:r/>
    </w:p>
    <w:tbl>
      <w:tblPr>
        <w:tblStyle w:val="883"/>
        <w:tblW w:w="0" w:type="auto"/>
        <w:tblInd w:w="137" w:type="dxa"/>
        <w:tblLook w:val="04A0" w:firstRow="1" w:lastRow="0" w:firstColumn="1" w:lastColumn="0" w:noHBand="0" w:noVBand="1"/>
      </w:tblPr>
      <w:tblGrid>
        <w:gridCol w:w="2410"/>
        <w:gridCol w:w="3827"/>
        <w:gridCol w:w="635"/>
        <w:gridCol w:w="2336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410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19.12.2022</w:t>
            </w:r>
            <w:r/>
          </w:p>
        </w:tc>
        <w:tc>
          <w:tcPr>
            <w:tcBorders>
              <w:left w:val="none" w:color="000000" w:sz="4" w:space="0"/>
            </w:tcBorders>
            <w:tcW w:w="3827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  <w:tc>
          <w:tcPr>
            <w:tcBorders>
              <w:right w:val="none" w:color="000000" w:sz="4" w:space="0"/>
            </w:tcBorders>
            <w:tcW w:w="63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336" w:type="dxa"/>
            <w:textDirection w:val="lrTb"/>
            <w:noWrap w:val="false"/>
          </w:tcPr>
          <w:p>
            <w:pPr>
              <w:contextualSpacing w:val="true"/>
              <w:jc w:val="right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0244/01-07</w:t>
            </w:r>
            <w:r/>
          </w:p>
        </w:tc>
      </w:tr>
      <w:tr>
        <w:trPr/>
        <w:tc>
          <w:tcPr>
            <w:gridSpan w:val="4"/>
            <w:tcW w:w="9208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gridSpan w:val="4"/>
            <w:tcW w:w="920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охранного обязательства собственника или иного законного владельца объекта культурного наследия регионального значения 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Пассаж Второва, нач. ХХ в.»</w:t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contextualSpacing w:val="true"/>
        <w:ind w:firstLine="708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со статьей 47.6 Федерального закона от 25.06.2002 №</w:t>
      </w:r>
      <w:r>
        <w:rPr>
          <w:rFonts w:ascii="PT Astra Serif" w:hAnsi="PT Astra Serif" w:cs="PT Astra Serif" w:eastAsia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73-ФЗ «Об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Комитете по охране объектов культурного наследия Томской области, утвержденного постановлением Губернатора Томской области от 29.04.2016 № 37,</w:t>
      </w:r>
      <w:r/>
    </w:p>
    <w:p>
      <w:pPr>
        <w:contextualSpacing w:val="true"/>
        <w:ind w:firstLine="708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/>
    </w:p>
    <w:p>
      <w:pPr>
        <w:ind w:firstLine="709"/>
        <w:jc w:val="both"/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1. Утвердить Охранное обязательство собственника или иного законного владельца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«Пассаж Второва, нач. ХХ в.»</w:t>
      </w: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, расположенного по адресу: Томская область, г. Томск, </w:t>
      </w: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Ленина</w:t>
      </w: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 (</w:t>
      </w: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проспект</w:t>
      </w: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), </w:t>
      </w: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111 угол </w:t>
      </w: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Батенькова</w:t>
      </w: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 (переулок), 1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согласно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приложению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к настоящему приказу.</w:t>
      </w:r>
      <w:r/>
    </w:p>
    <w:p>
      <w:pPr>
        <w:ind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2. Направить копию настоящего приказа собственникам или иным законным владельцам объекта культурного наследия не позднее пятнадцати рабочих дней со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дня утверждения.</w:t>
      </w:r>
      <w:r/>
    </w:p>
    <w:p>
      <w:pPr>
        <w:ind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3. Признать утратившим силу приказ Комитета по охране объектов культурного наследия Томской области от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03.06.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2016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№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07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/01-07 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Об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утверждении охранного обязательства собственника или иного законного владельца объекта культурного наследия (памятника истории и культуры) регионального значения 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Пассаж Второва, нач. ХХ в.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» (Официальный интернет-портал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Администрации Томской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области</w:t>
      </w:r>
      <w:r>
        <w:rPr>
          <w:rFonts w:ascii="PT Astra Serif" w:hAnsi="PT Astra Serif"/>
        </w:rPr>
        <w:t xml:space="preserve"> </w:t>
      </w:r>
      <w:r>
        <w:rPr>
          <w:rStyle w:val="1009"/>
          <w:rFonts w:ascii="PT Astra Serif" w:hAnsi="PT Astra Serif" w:cs="PT Astra Serif" w:eastAsia="PT Astra Serif"/>
          <w:color w:val="auto"/>
          <w:sz w:val="26"/>
          <w:szCs w:val="26"/>
        </w:rPr>
        <w:t xml:space="preserve">https://tomsk.gov.ru/documents/front/view/id/20387). </w:t>
      </w:r>
      <w:r/>
    </w:p>
    <w:p>
      <w:pPr>
        <w:ind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4.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Контроль за исполнением настоящего приказа возложить на председателя Комитета по охране объектов культурного наследия Томской области.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/>
    </w:p>
    <w:tbl>
      <w:tblPr>
        <w:tblW w:w="9493" w:type="dxa"/>
        <w:tblLook w:val="04A0" w:firstRow="1" w:lastRow="0" w:firstColumn="1" w:lastColumn="0" w:noHBand="0" w:noVBand="1"/>
      </w:tblPr>
      <w:tblGrid>
        <w:gridCol w:w="3256"/>
        <w:gridCol w:w="4094"/>
        <w:gridCol w:w="2143"/>
      </w:tblGrid>
      <w:tr>
        <w:trPr/>
        <w:tc>
          <w:tcPr>
            <w:tcW w:w="3256" w:type="dxa"/>
            <w:textDirection w:val="lrTb"/>
            <w:noWrap w:val="false"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Комитета</w:t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18"/>
                <w:szCs w:val="18"/>
              </w:rPr>
            </w:pPr>
            <w:r>
              <w:rPr>
                <w:rFonts w:ascii="PT Astra Serif" w:hAnsi="PT Astra Serif" w:cs="PT Astra Serif" w:eastAsia="PT Astra Serif"/>
                <w:sz w:val="18"/>
                <w:szCs w:val="18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18"/>
                <w:szCs w:val="18"/>
              </w:rPr>
            </w:pPr>
            <w:r>
              <w:rPr>
                <w:rFonts w:ascii="PT Astra Serif" w:hAnsi="PT Astra Serif" w:cs="PT Astra Serif" w:eastAsia="PT Astra Serif"/>
                <w:sz w:val="18"/>
                <w:szCs w:val="18"/>
              </w:rPr>
              <w:t xml:space="preserve">Л.С. Астафьева</w:t>
            </w:r>
            <w:r/>
          </w:p>
        </w:tc>
        <w:tc>
          <w:tcPr>
            <w:tcW w:w="40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143" w:type="dxa"/>
            <w:textDirection w:val="lrTb"/>
            <w:noWrap w:val="false"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.В. Перетягина</w:t>
            </w:r>
            <w:r/>
          </w:p>
        </w:tc>
      </w:tr>
    </w:tbl>
    <w:p>
      <w:pPr>
        <w:pStyle w:val="1042"/>
        <w:rPr>
          <w:rFonts w:ascii="PT Astra Serif" w:hAnsi="PT Astra Serif" w:cs="PT Astra Serif" w:eastAsia="PT Astra Serif"/>
        </w:rPr>
        <w:sectPr>
          <w:headerReference w:type="default" r:id="rId9"/>
          <w:headerReference w:type="even" r:id="rId10"/>
          <w:headerReference w:type="first" r:id="rId11"/>
          <w:footerReference w:type="default" r:id="rId14"/>
          <w:footnotePr/>
          <w:endnotePr/>
          <w:type w:val="continuous"/>
          <w:pgSz w:w="11907" w:h="16840" w:orient="portrait"/>
          <w:pgMar w:top="1418" w:right="851" w:bottom="1134" w:left="1701" w:header="720" w:footer="567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Style w:val="883"/>
        <w:tblW w:w="0" w:type="auto"/>
        <w:tblInd w:w="5103" w:type="dxa"/>
        <w:tblLook w:val="04A0" w:firstRow="1" w:lastRow="0" w:firstColumn="1" w:lastColumn="0" w:noHBand="0" w:noVBand="1"/>
      </w:tblPr>
      <w:tblGrid>
        <w:gridCol w:w="421"/>
        <w:gridCol w:w="1574"/>
        <w:gridCol w:w="410"/>
        <w:gridCol w:w="1837"/>
      </w:tblGrid>
      <w:tr>
        <w:trPr/>
        <w:tc>
          <w:tcPr>
            <w:gridSpan w:val="2"/>
            <w:tcW w:w="199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УТВЕРЖДЕНО</w:t>
            </w:r>
            <w:r/>
          </w:p>
        </w:tc>
        <w:tc>
          <w:tcPr>
            <w:tcW w:w="41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</w:r>
            <w:r/>
          </w:p>
        </w:tc>
        <w:tc>
          <w:tcPr>
            <w:tcW w:w="183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</w:r>
            <w:r/>
          </w:p>
        </w:tc>
      </w:tr>
      <w:tr>
        <w:trPr/>
        <w:tc>
          <w:tcPr>
            <w:gridSpan w:val="4"/>
            <w:tcW w:w="4242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приказом Комитета по охране объектов культурного наследия Томской области</w:t>
            </w:r>
            <w:r/>
          </w:p>
        </w:tc>
      </w:tr>
      <w:tr>
        <w:trPr/>
        <w:tc>
          <w:tcPr>
            <w:tcBorders>
              <w:right w:val="none" w:color="000000" w:sz="4" w:space="0"/>
            </w:tcBorders>
            <w:tcW w:w="42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от</w:t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57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19.12.2022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41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№</w:t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83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0244/01-07</w:t>
            </w:r>
            <w:r/>
          </w:p>
        </w:tc>
      </w:tr>
    </w:tbl>
    <w:p>
      <w:pPr>
        <w:ind w:left="5103"/>
        <w:jc w:val="both"/>
        <w:rPr>
          <w:rFonts w:ascii="PT Astra Serif" w:hAnsi="PT Astra Serif" w:cs="PT Astra Serif" w:eastAsia="PT Astra Serif"/>
          <w:sz w:val="20"/>
          <w:szCs w:val="20"/>
        </w:rPr>
      </w:pPr>
      <w:r>
        <w:rPr>
          <w:rFonts w:ascii="PT Astra Serif" w:hAnsi="PT Astra Serif" w:cs="PT Astra Serif" w:eastAsia="PT Astra Serif"/>
          <w:sz w:val="20"/>
          <w:szCs w:val="20"/>
        </w:rPr>
      </w:r>
      <w:r/>
    </w:p>
    <w:p>
      <w:pPr>
        <w:pStyle w:val="1036"/>
        <w:spacing w:lineRule="auto" w:line="240"/>
        <w:shd w:val="clear" w:fill="auto" w:color="auto"/>
        <w:rPr>
          <w:rFonts w:ascii="PT Astra Serif" w:hAnsi="PT Astra Serif" w:cs="PT Astra Serif" w:eastAsia="PT Astra Serif"/>
          <w:color w:val="000000"/>
          <w:sz w:val="24"/>
          <w:szCs w:val="24"/>
          <w:lang w:val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val="ru-RU"/>
        </w:rPr>
      </w:r>
      <w:r/>
    </w:p>
    <w:p>
      <w:pPr>
        <w:pStyle w:val="1036"/>
        <w:jc w:val="center"/>
        <w:spacing w:lineRule="auto" w:line="240"/>
        <w:shd w:val="clear" w:fill="auto" w:color="auto"/>
        <w:rPr>
          <w:rFonts w:ascii="PT Astra Serif" w:hAnsi="PT Astra Serif" w:cs="PT Astra Serif" w:eastAsia="PT Astra Serif"/>
          <w:sz w:val="24"/>
          <w:szCs w:val="24"/>
          <w:lang w:val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val="ru-RU" w:bidi="ru-RU"/>
        </w:rPr>
        <w:t xml:space="preserve">ОХРАННОЕ ОБЯЗАТЕЛЬСТВО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val="ru-RU" w:bidi="ru-RU"/>
        </w:rPr>
        <w:br/>
        <w:t xml:space="preserve">СОБСТВЕННИКА ИЛИ ИНОГО ЗАКОННОГО ВЛАДЕЛЬЦА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val="ru-RU" w:bidi="ru-RU"/>
        </w:rPr>
        <w:br/>
        <w:t xml:space="preserve">ОБЪЕКТА КУЛЬТУРНОГО НАСЛЕДИЯ,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val="ru-RU" w:bidi="ru-RU"/>
        </w:rPr>
        <w:br/>
        <w:t xml:space="preserve"> включенного в единый государственный реестр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val="ru-RU" w:bidi="ru-RU"/>
        </w:rPr>
        <w:br/>
        <w:t xml:space="preserve">объектов культурного наследия (памятников истории и культуры)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val="ru-RU" w:bidi="ru-RU"/>
        </w:rPr>
        <w:br/>
        <w:t xml:space="preserve"> народов Российской Федерации</w:t>
      </w:r>
      <w:r/>
    </w:p>
    <w:p>
      <w:pPr>
        <w:pStyle w:val="1035"/>
        <w:spacing w:lineRule="auto" w:line="240" w:after="0"/>
        <w:shd w:val="clear" w:fill="auto" w:color="auto"/>
        <w:rPr>
          <w:rFonts w:ascii="PT Astra Serif" w:hAnsi="PT Astra Serif" w:cs="PT Astra Serif" w:eastAsia="PT Astra Serif"/>
          <w:sz w:val="24"/>
          <w:szCs w:val="24"/>
          <w:lang w:val="ru-RU"/>
        </w:rPr>
      </w:pPr>
      <w:r>
        <w:rPr>
          <w:rFonts w:ascii="PT Astra Serif" w:hAnsi="PT Astra Serif" w:cs="PT Astra Serif" w:eastAsia="PT Astra Serif"/>
          <w:sz w:val="24"/>
          <w:szCs w:val="24"/>
          <w:lang w:val="ru-RU"/>
        </w:rPr>
      </w:r>
      <w:r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>
        <w:trPr>
          <w:trHeight w:val="125"/>
        </w:trPr>
        <w:tc>
          <w:tcPr>
            <w:tcBorders>
              <w:right w:val="single" w:color="000000" w:sz="4" w:space="0"/>
            </w:tcBorders>
            <w:tcW w:w="391" w:type="dxa"/>
            <w:textDirection w:val="lrTb"/>
            <w:noWrap w:val="false"/>
          </w:tcPr>
          <w:p>
            <w:pPr>
              <w:pStyle w:val="1035"/>
              <w:jc w:val="center"/>
              <w:spacing w:lineRule="auto" w:line="240" w:after="0"/>
              <w:shd w:val="clear" w:fill="auto" w:color="auto"/>
              <w:rPr>
                <w:rFonts w:ascii="PT Astra Serif" w:hAnsi="PT Astra Serif" w:cs="PT Astra Serif" w:eastAsia="PT Astra Serif"/>
                <w:b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b/>
                <w:color w:val="000000"/>
                <w:sz w:val="24"/>
                <w:szCs w:val="24"/>
                <w:lang w:val="ru-RU" w:bidi="ru-RU" w:eastAsia="ru-RU"/>
              </w:rPr>
              <w:t xml:space="preserve">«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787" w:type="dxa"/>
            <w:textDirection w:val="lrTb"/>
            <w:noWrap w:val="false"/>
          </w:tcPr>
          <w:p>
            <w:pPr>
              <w:pStyle w:val="1035"/>
              <w:ind w:left="-62" w:right="-62"/>
              <w:jc w:val="center"/>
              <w:spacing w:lineRule="auto" w:line="240" w:after="0"/>
              <w:rPr>
                <w:rFonts w:ascii="PT Astra Serif" w:hAnsi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Пассаж Второва, нач. ХХ в.</w:t>
            </w:r>
            <w:r/>
          </w:p>
        </w:tc>
        <w:tc>
          <w:tcPr>
            <w:tcBorders>
              <w:left w:val="single" w:color="000000" w:sz="4" w:space="0"/>
            </w:tcBorders>
            <w:tcW w:w="393" w:type="dxa"/>
            <w:textDirection w:val="lrTb"/>
            <w:noWrap w:val="false"/>
          </w:tcPr>
          <w:p>
            <w:pPr>
              <w:pStyle w:val="1035"/>
              <w:jc w:val="center"/>
              <w:spacing w:lineRule="auto" w:line="240" w:after="0"/>
              <w:shd w:val="clear" w:fill="auto" w:color="auto"/>
              <w:rPr>
                <w:rFonts w:ascii="PT Astra Serif" w:hAnsi="PT Astra Serif" w:cs="PT Astra Serif" w:eastAsia="PT Astra Serif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PT Astra Serif" w:hAnsi="PT Astra Serif" w:cs="PT Astra Serif" w:eastAsia="PT Astra Serif"/>
                <w:b/>
                <w:color w:val="000000"/>
                <w:sz w:val="24"/>
                <w:szCs w:val="24"/>
                <w:lang w:val="ru-RU" w:bidi="ru-RU" w:eastAsia="ru-RU"/>
              </w:rPr>
              <w:t xml:space="preserve">»</w:t>
            </w:r>
            <w:r/>
          </w:p>
        </w:tc>
      </w:tr>
    </w:tbl>
    <w:p>
      <w:pPr>
        <w:pStyle w:val="1037"/>
        <w:ind w:firstLine="0"/>
        <w:spacing w:lineRule="exact" w:line="240" w:after="0" w:before="0"/>
        <w:shd w:val="clear" w:fill="auto" w:color="auto"/>
        <w:rPr>
          <w:rFonts w:ascii="PT Astra Serif" w:hAnsi="PT Astra Serif" w:cs="PT Astra Serif" w:eastAsia="PT Astra Serif"/>
          <w:i w:val="false"/>
          <w:color w:val="000000"/>
          <w:sz w:val="26"/>
          <w:szCs w:val="26"/>
          <w:lang w:val="ru-RU"/>
        </w:rPr>
      </w:pPr>
      <w:r>
        <w:rPr>
          <w:rFonts w:ascii="PT Astra Serif" w:hAnsi="PT Astra Serif" w:cs="PT Astra Serif" w:eastAsia="PT Astra Serif"/>
          <w:i w:val="false"/>
          <w:color w:val="000000"/>
          <w:sz w:val="26"/>
          <w:szCs w:val="26"/>
          <w:lang w:val="ru-RU" w:bidi="ru-RU"/>
        </w:rPr>
        <w:t xml:space="preserve">(</w:t>
      </w:r>
      <w:r>
        <w:rPr>
          <w:rFonts w:ascii="PT Astra Serif" w:hAnsi="PT Astra Serif" w:cs="PT Astra Serif" w:eastAsia="PT Astra Serif"/>
          <w:i w:val="false"/>
          <w:color w:val="000000"/>
          <w:lang w:val="ru-RU" w:bidi="ru-RU"/>
        </w:rPr>
        <w:t xml:space="preserve">наименование объекта культурного</w:t>
      </w:r>
      <w:r>
        <w:rPr>
          <w:rFonts w:ascii="PT Astra Serif" w:hAnsi="PT Astra Serif" w:cs="PT Astra Serif" w:eastAsia="PT Astra Serif"/>
          <w:i w:val="false"/>
          <w:color w:val="000000"/>
          <w:lang w:val="ru-RU" w:bidi="ru-RU"/>
        </w:rPr>
        <w:t xml:space="preserve">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реестра объектов культурного наследия (памятников истории и</w:t>
      </w:r>
      <w:r>
        <w:rPr>
          <w:rFonts w:ascii="PT Astra Serif" w:hAnsi="PT Astra Serif" w:cs="PT Astra Serif" w:eastAsia="PT Astra Serif"/>
          <w:i w:val="false"/>
          <w:color w:val="000000"/>
          <w:lang w:val="ru-RU" w:bidi="ru-RU"/>
        </w:rPr>
        <w:br/>
        <w:t xml:space="preserve"> культуры) народов Российской Федерации</w:t>
      </w:r>
      <w:r>
        <w:rPr>
          <w:rFonts w:ascii="PT Astra Serif" w:hAnsi="PT Astra Serif" w:cs="PT Astra Serif" w:eastAsia="PT Astra Serif"/>
          <w:i w:val="false"/>
          <w:color w:val="000000"/>
          <w:sz w:val="26"/>
          <w:szCs w:val="26"/>
          <w:lang w:val="ru-RU" w:bidi="ru-RU"/>
        </w:rPr>
        <w:t xml:space="preserve">)</w:t>
      </w:r>
      <w:r/>
    </w:p>
    <w:p>
      <w:pPr>
        <w:pStyle w:val="1035"/>
        <w:spacing w:lineRule="auto" w:line="240" w:after="0"/>
        <w:shd w:val="clear" w:fill="auto" w:color="auto"/>
        <w:rPr>
          <w:rFonts w:ascii="PT Astra Serif" w:hAnsi="PT Astra Serif" w:cs="PT Astra Serif" w:eastAsia="PT Astra Serif"/>
          <w:lang w:val="ru-RU"/>
        </w:rPr>
      </w:pPr>
      <w:r>
        <w:rPr>
          <w:rFonts w:ascii="PT Astra Serif" w:hAnsi="PT Astra Serif" w:cs="PT Astra Serif" w:eastAsia="PT Astra Serif"/>
          <w:lang w:val="ru-RU"/>
        </w:rPr>
      </w:r>
      <w:r/>
    </w:p>
    <w:tbl>
      <w:tblPr>
        <w:tblW w:w="8510" w:type="dxa"/>
        <w:jc w:val="center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>
        <w:trPr>
          <w:jc w:val="center"/>
          <w:trHeight w:val="375"/>
        </w:trPr>
        <w:tc>
          <w:tcPr>
            <w:tcW w:w="56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7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/>
          </w:p>
        </w:tc>
        <w:tc>
          <w:tcPr>
            <w:tcW w:w="5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8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57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  <w:r/>
          </w:p>
        </w:tc>
      </w:tr>
    </w:tbl>
    <w:p>
      <w:pPr>
        <w:jc w:val="center"/>
        <w:widowControl w:val="off"/>
        <w:rPr>
          <w:rFonts w:ascii="PT Astra Serif" w:hAnsi="PT Astra Serif" w:cs="PT Astra Serif" w:eastAsia="PT Astra Serif"/>
          <w:b/>
          <w:bCs/>
          <w:color w:val="000000"/>
          <w:sz w:val="20"/>
          <w:szCs w:val="26"/>
        </w:rPr>
      </w:pPr>
      <w:r>
        <w:rPr>
          <w:rFonts w:ascii="PT Astra Serif" w:hAnsi="PT Astra Serif" w:cs="PT Astra Serif" w:eastAsia="PT Astra Serif"/>
          <w:color w:val="000000"/>
          <w:sz w:val="20"/>
          <w:szCs w:val="26"/>
          <w:lang w:bidi="ru-RU"/>
        </w:rPr>
        <w:t xml:space="preserve">(</w:t>
      </w:r>
      <w:r>
        <w:rPr>
          <w:rFonts w:ascii="PT Astra Serif" w:hAnsi="PT Astra Serif" w:cs="PT Astra Serif" w:eastAsia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и культуры) народов Российской Федерации</w:t>
      </w:r>
      <w:r>
        <w:rPr>
          <w:rFonts w:ascii="PT Astra Serif" w:hAnsi="PT Astra Serif" w:cs="PT Astra Serif" w:eastAsia="PT Astra Serif"/>
          <w:color w:val="000000"/>
          <w:sz w:val="20"/>
          <w:szCs w:val="26"/>
          <w:lang w:bidi="ru-RU"/>
        </w:rPr>
        <w:t xml:space="preserve">)</w:t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</w:rPr>
      </w:r>
      <w:r/>
    </w:p>
    <w:p>
      <w:pPr>
        <w:ind w:firstLine="700"/>
        <w:jc w:val="both"/>
        <w:widowControl w:val="off"/>
        <w:rPr>
          <w:rFonts w:ascii="PT Astra Serif" w:hAnsi="PT Astra Serif" w:cs="PT Astra Serif" w:eastAsia="PT Astra Serif"/>
          <w:bCs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которого утверждено охранное обязательство (далее – объект культурного наследия)</w:t>
      </w:r>
      <w:r>
        <w:rPr>
          <w:rStyle w:val="1012"/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footnoteReference w:id="2"/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:</w:t>
      </w:r>
      <w:r/>
    </w:p>
    <w:p>
      <w:pPr>
        <w:ind w:firstLine="700"/>
        <w:jc w:val="both"/>
        <w:widowControl w:val="off"/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>
        <w:trPr/>
        <w:tc>
          <w:tcPr>
            <w:tcBorders>
              <w:right w:val="single" w:color="000000" w:sz="4" w:space="0"/>
            </w:tcBorders>
            <w:tcW w:w="3828" w:type="dxa"/>
            <w:textDirection w:val="lrTb"/>
            <w:noWrap w:val="false"/>
          </w:tcPr>
          <w:p>
            <w:pPr>
              <w:jc w:val="right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имеется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val="en-US" w:bidi="ru-RU"/>
              </w:rPr>
              <w:t xml:space="preserve">V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702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отсутствует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24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r>
            <w:r/>
          </w:p>
        </w:tc>
      </w:tr>
    </w:tbl>
    <w:p>
      <w:pPr>
        <w:jc w:val="center"/>
        <w:widowControl w:val="off"/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(нужное отметить знаком «V»)</w:t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b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b/>
          <w:color w:val="000000"/>
          <w:sz w:val="24"/>
          <w:szCs w:val="24"/>
        </w:rPr>
      </w:r>
      <w:r/>
    </w:p>
    <w:p>
      <w:pPr>
        <w:ind w:firstLine="708"/>
        <w:jc w:val="both"/>
        <w:widowControl w:val="off"/>
        <w:rPr>
          <w:rFonts w:ascii="PT Astra Serif" w:hAnsi="PT Astra Serif" w:cs="PT Astra Serif" w:eastAsia="PT Astra Serif"/>
          <w:bCs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При отсутствии паспорта объекта культурного наследия в охранное обязательство вносятся:</w:t>
      </w:r>
      <w:r/>
    </w:p>
    <w:p>
      <w:pPr>
        <w:ind w:firstLine="708"/>
        <w:jc w:val="both"/>
        <w:widowControl w:val="off"/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b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  <w:lang w:bidi="ru-RU"/>
        </w:rPr>
        <w:t xml:space="preserve">Раздел 1. Сведения об объекте культурного наследия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1.1.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Сведения о наименовании объекта культурного наследия:</w:t>
      </w:r>
      <w:r/>
    </w:p>
    <w:p>
      <w:pPr>
        <w:ind w:left="1069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1.2.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исторических событий:</w:t>
      </w:r>
      <w:r/>
    </w:p>
    <w:p>
      <w:pPr>
        <w:ind w:firstLine="708"/>
        <w:jc w:val="both"/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1.3.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Сведения о категории историко-культурного значения объекта культурного наследия:</w:t>
      </w:r>
      <w:r/>
    </w:p>
    <w:p>
      <w:pPr>
        <w:jc w:val="both"/>
        <w:widowControl w:val="off"/>
        <w:tabs>
          <w:tab w:val="left" w:pos="1103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>
        <w:trPr>
          <w:trHeight w:val="427"/>
        </w:trPr>
        <w:tc>
          <w:tcPr>
            <w:tcBorders>
              <w:right w:val="single" w:color="000000" w:sz="4" w:space="0"/>
            </w:tcBorders>
            <w:tcW w:w="216" w:type="dxa"/>
            <w:textDirection w:val="lrTb"/>
            <w:noWrap w:val="false"/>
          </w:tcPr>
          <w:p>
            <w:pPr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76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федерального значения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регионального значения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2128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муниципального значения</w:t>
            </w:r>
            <w:r/>
          </w:p>
        </w:tc>
      </w:tr>
    </w:tbl>
    <w:p>
      <w:pPr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  <w:lang w:bidi="ru-RU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(нужное отметить знаком «V»)</w:t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1.4.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Сведения о виде объекта культурного наследия:</w:t>
      </w:r>
      <w:r/>
    </w:p>
    <w:p>
      <w:pPr>
        <w:jc w:val="both"/>
        <w:widowControl w:val="off"/>
        <w:tabs>
          <w:tab w:val="left" w:pos="1103" w:leader="none"/>
        </w:tabs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/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>
        <w:trPr>
          <w:trHeight w:val="371"/>
        </w:trPr>
        <w:tc>
          <w:tcPr>
            <w:tcBorders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textDirection w:val="lrTb"/>
            <w:noWrap w:val="false"/>
          </w:tcPr>
          <w:p>
            <w:pPr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памятник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ансамбль</w:t>
            </w:r>
            <w:r/>
          </w:p>
        </w:tc>
      </w:tr>
    </w:tbl>
    <w:p>
      <w:pPr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  <w:lang w:bidi="ru-RU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(нужное отметить знаком «V»)</w:t>
      </w:r>
      <w:r/>
    </w:p>
    <w:p>
      <w:pPr>
        <w:ind w:firstLine="425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r>
      <w:r/>
    </w:p>
    <w:p>
      <w:pPr>
        <w:ind w:firstLine="425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1.5.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истории и культуры) народов Российской Федерации:</w:t>
      </w:r>
      <w:r/>
    </w:p>
    <w:p>
      <w:pPr>
        <w:ind w:firstLine="708"/>
        <w:jc w:val="both"/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1.6.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Сведения о местонахождении объекта культурного наследия (адрес объекта или, при его отсутствии, описание местоположения объекта):</w:t>
      </w:r>
      <w:r/>
    </w:p>
    <w:p>
      <w:pPr>
        <w:ind w:firstLine="708"/>
        <w:jc w:val="both"/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jc w:val="center"/>
        <w:widowControl w:val="off"/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(субъект Российской Федерации)</w:t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  <w:color w:val="000000"/>
          <w:sz w:val="20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0"/>
          <w:lang w:bidi="ru-RU"/>
        </w:rPr>
        <w:t xml:space="preserve">(населенный пункт)</w:t>
      </w:r>
      <w:r/>
    </w:p>
    <w:p>
      <w:pPr>
        <w:jc w:val="center"/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>
        <w:trPr>
          <w:cantSplit/>
          <w:trHeight w:val="435"/>
        </w:trPr>
        <w:tc>
          <w:tcPr>
            <w:tcBorders>
              <w:right w:val="single" w:color="000000" w:sz="4" w:space="0"/>
            </w:tcBorders>
            <w:tcW w:w="67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ул.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68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27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д.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корп. и (или) стр.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>
        <w:trPr>
          <w:cantSplit/>
          <w:trHeight w:val="354"/>
        </w:trPr>
        <w:tc>
          <w:tcPr>
            <w:tcBorders>
              <w:right w:val="single" w:color="000000" w:sz="4" w:space="0"/>
            </w:tcBorders>
            <w:tcW w:w="43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кадастровый номер (при наличии):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102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ind w:right="-1"/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  <w:lang w:bidi="ru-RU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(описание местоположения)</w:t>
      </w:r>
      <w:r/>
    </w:p>
    <w:p>
      <w:pPr>
        <w:ind w:right="-1"/>
        <w:jc w:val="center"/>
        <w:widowControl w:val="off"/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1.7.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Сведения о границах территории объекта культурного наследия: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1.8.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Описание предмета охраны объекта культурного наследия: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1.9.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Фотографическое (иное графическое) изображение объекта культурного наследи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охраны объектов культурного наследия, на _____ листах.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1.10.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Сведения о наличии зон охран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1.11.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Сведения об объектах культурного наследия, входящих в состав объекта культурного наследия, являющегося ансамблем: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Style w:val="883"/>
        <w:tblW w:w="0" w:type="auto"/>
        <w:tblInd w:w="108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>
        <w:trPr/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№</w:t>
            </w:r>
            <w:r/>
          </w:p>
        </w:tc>
        <w:tc>
          <w:tcPr>
            <w:tcW w:w="184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Наименование объекта культурного наследия</w:t>
            </w:r>
            <w:r/>
          </w:p>
        </w:tc>
        <w:tc>
          <w:tcP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Адрес объекта или местоположение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Границы территории объекта культурного наследия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Предмет охраны объекта культурного наследия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  <w:t xml:space="preserve">Зоны охраны объекта культурного наследия</w:t>
            </w:r>
            <w:r/>
          </w:p>
        </w:tc>
      </w:tr>
      <w:tr>
        <w:trPr/>
        <w:tc>
          <w:tcPr>
            <w:tcW w:w="567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r>
            <w:r/>
          </w:p>
        </w:tc>
        <w:tc>
          <w:tcPr>
            <w:tcW w:w="1842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r>
            <w:r/>
          </w:p>
        </w:tc>
        <w:tc>
          <w:tcPr>
            <w:tcW w:w="198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bidi="ru-RU"/>
              </w:rPr>
            </w:r>
            <w:r/>
          </w:p>
        </w:tc>
      </w:tr>
    </w:tbl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1.12.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территории объекта культурного наследия, об особом режиме использования земельного участка, в грани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культурного наследия (памятниках истории и культуры) народов Российской Федерации» (далее – Закон № 73-ФЗ):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  <w:lang w:bidi="ru-RU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1.13.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Иные сведения, предусмотренные Законом № 73-ФЗ: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left="360"/>
        <w:jc w:val="center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b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b/>
          <w:color w:val="000000"/>
          <w:sz w:val="24"/>
          <w:szCs w:val="24"/>
        </w:rPr>
        <w:t xml:space="preserve">Раздел 2. Требования к сохранению объекта культурного наследия</w:t>
      </w:r>
      <w:r/>
    </w:p>
    <w:p>
      <w:pPr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2.1.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В соответствии с пунктом 1 статьи 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указанных мер.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2.2.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ству) и определяются соответствующим органом охраны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учетом мнения собственника или иного законного владельца объекта культурного наследия, на основании составленного органом охраны объектов культурного нас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физического состояния, функционального назначения и намечаемого использования объекта культурного наследия.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2.3.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Лица, указанные в пункте 11 статьи 47.6 Закона № 73-ФЗ, обязаны обеспечивать финансирование мероприятий, обеспечивающих выполнение требований к сохранению объекта культурного наследия.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left="20"/>
        <w:jc w:val="center"/>
        <w:widowControl w:val="off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  <w:lang w:bidi="ru-RU"/>
        </w:rPr>
        <w:br/>
        <w:t xml:space="preserve">культурного наследия</w:t>
      </w:r>
      <w:r/>
    </w:p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3.1.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В соответствии с пунктом 1 статьи 47.3 Закона № 73-Ф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физического состояния и (или) изменения предмета охраны данно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го объекта культурного наследия лица, указанные в пункте 11 статьи 47.6 Закона № 73-ФЗ, лицо, которому земельный участок, в границах которого располагается объект археологического наследия, принадлежит на праве собственности или ином вещном праве, обязаны:</w:t>
      </w:r>
      <w:r/>
    </w:p>
    <w:p>
      <w:pPr>
        <w:ind w:firstLine="426"/>
        <w:jc w:val="both"/>
        <w:widowControl w:val="off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1) о</w:t>
      </w:r>
      <w:r>
        <w:rPr>
          <w:rFonts w:ascii="PT Astra Serif" w:hAnsi="PT Astra Serif" w:cs="PT Astra Serif" w:eastAsia="PT Astra Serif"/>
          <w:color w:val="000000"/>
          <w:sz w:val="24"/>
          <w:szCs w:val="24"/>
          <w:highlight w:val="white"/>
          <w:lang w:bidi="ru-RU"/>
        </w:rPr>
        <w:t xml:space="preserve">существля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  <w:r/>
    </w:p>
    <w:p>
      <w:pPr>
        <w:ind w:firstLine="426"/>
        <w:jc w:val="both"/>
        <w:widowControl w:val="off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объекта культурного наследия либо ухудшающие условия, необходимые для сохранности объекта культурного наследия;</w:t>
      </w:r>
      <w:r/>
    </w:p>
    <w:p>
      <w:pPr>
        <w:ind w:firstLine="426"/>
        <w:jc w:val="both"/>
        <w:widowControl w:val="off"/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3) не проводить работ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ы, изменяющие облик, объемно-планировочные и конструктивные решения и структуры, интерьер выявленного объекта культурного наследия, объекта культурного наследия, включенного в реестр, в случае, если предмет охраны объекта культурного наследия не определен;</w:t>
      </w:r>
      <w:r/>
    </w:p>
    <w:p>
      <w:pPr>
        <w:ind w:firstLine="426"/>
        <w:jc w:val="both"/>
        <w:widowControl w:val="off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4) обеспечивать сохранность и неизменность облика выявленного объекта культурного наследия;</w:t>
      </w:r>
      <w:r/>
    </w:p>
    <w:p>
      <w:pPr>
        <w:ind w:firstLine="426"/>
        <w:jc w:val="both"/>
        <w:widowControl w:val="off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5) соблюдать установленные статьей 5.1 Закона № 73-ФЗ тр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археологического наследия;</w:t>
      </w:r>
      <w:r/>
    </w:p>
    <w:p>
      <w:pPr>
        <w:ind w:firstLine="426"/>
        <w:jc w:val="both"/>
        <w:widowControl w:val="off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6) не использовать объект культурного наследия (за исключением оборудованных с учетом требований противопожарной безопас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ности объектов культурного наследия, предназначенных либо предназначавшихся для осуществления и (или) обеспечения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  <w:r/>
    </w:p>
    <w:p>
      <w:pPr>
        <w:ind w:firstLine="426"/>
        <w:jc w:val="both"/>
        <w:widowControl w:val="off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- под склады и объекты производства взрывчатых и огнеопасных материалов, предметов и веществ, загрязняющих интерьер объекта культурного наследия, его фасад, территорию и водные объекты и (или) имеющих вредные парогазообразные и иные выделения;</w:t>
      </w:r>
      <w:r/>
    </w:p>
    <w:p>
      <w:pPr>
        <w:ind w:firstLine="426"/>
        <w:jc w:val="both"/>
        <w:widowControl w:val="off"/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- под объекты производства, имеющие оборудование, оказывающее динамическое и вибрационное воздействие на конструкции объекта культурного наследия, независимо от мощности данного оборудования;</w:t>
      </w:r>
      <w:r/>
    </w:p>
    <w:p>
      <w:pPr>
        <w:ind w:firstLine="426"/>
        <w:jc w:val="both"/>
        <w:widowControl w:val="off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  <w:r/>
    </w:p>
    <w:p>
      <w:pPr>
        <w:ind w:firstLine="426"/>
        <w:jc w:val="both"/>
        <w:widowControl w:val="off"/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7) незамедлительно извещать соответствующий орган охраны объектов культурного наследия обо всех известных ему повреждениях, авариях или об иных обстояте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льствах, причинивших вред объекту культурного наследия, включая объект археологического наследия, земельному участку в границах территории объекта культурного наследия либо земельному участку, в границах которого располагается объект археологического насле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дия, или угрожающих причинением такого вреда, и безотлагательно принимать меры по предотвращению дальнейшего разрушения,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  <w:r/>
    </w:p>
    <w:p>
      <w:pPr>
        <w:ind w:right="-1" w:firstLine="426"/>
        <w:jc w:val="both"/>
        <w:widowControl w:val="off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8) не допускать ухудшения состояния территории объекта культурного наследия, включенного в реестр, поддерживать территорию объекта культурного наследия в благоустроенном состоянии.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3.2.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требования к сохранению объекта культурного 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охраны объекта культурного наследия.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3.3.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тся объект археологического наследия, объектов, обладающих признаками 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3.4.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В случае если содерж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ание или использование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3.4.1.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К видам хозяйственной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на момент утверждения настоящего охранного обязательства требования не установлены.</w:t>
            </w:r>
            <w:r/>
          </w:p>
        </w:tc>
      </w:tr>
    </w:tbl>
    <w:p>
      <w:pPr>
        <w:ind w:firstLine="426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3.4.2.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на момент утверждения настоящего охранного обязательства требования не установлены.</w:t>
            </w:r>
            <w:r/>
          </w:p>
        </w:tc>
      </w:tr>
    </w:tbl>
    <w:p>
      <w:pPr>
        <w:ind w:firstLine="426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3.4.3.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К благоустройству в границах территории объекта культурного наследия: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на момент утверждения настоящего охранного обязательства требования не установлены.</w:t>
            </w:r>
            <w:r/>
          </w:p>
        </w:tc>
      </w:tr>
    </w:tbl>
    <w:p>
      <w:pPr>
        <w:ind w:firstLine="426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24"/>
        </w:rPr>
      </w:pPr>
      <w:r>
        <w:rPr>
          <w:rFonts w:ascii="PT Astra Serif" w:hAnsi="PT Astra Serif" w:cs="PT Astra Serif" w:eastAsia="PT Astra Serif"/>
          <w:color w:val="000000"/>
          <w:sz w:val="16"/>
          <w:szCs w:val="24"/>
          <w:highlight w:val="none"/>
          <w:lang w:bidi="ru-RU"/>
        </w:rPr>
      </w:r>
      <w:r>
        <w:rPr>
          <w:rFonts w:ascii="PT Astra Serif" w:hAnsi="PT Astra Serif" w:cs="PT Astra Serif" w:eastAsia="PT Astra Serif"/>
          <w:color w:val="000000"/>
          <w:sz w:val="16"/>
          <w:szCs w:val="24"/>
          <w:highlight w:val="none"/>
          <w:lang w:bidi="ru-RU"/>
        </w:rPr>
      </w:r>
      <w:r/>
    </w:p>
    <w:p>
      <w:pPr>
        <w:ind w:firstLine="426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  <w:highlight w:val="none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3.5.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Лица,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r>
      <w:r/>
    </w:p>
    <w:p>
      <w:pPr>
        <w:ind w:left="360"/>
        <w:jc w:val="center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b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  <w:lang w:bidi="ru-RU"/>
        </w:rPr>
        <w:br/>
        <w:t xml:space="preserve">к объекту культурного наследия</w:t>
      </w:r>
      <w:r/>
    </w:p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4.1.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Закона № 73-ФЗ с учет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 (приложение № 2 к охранному обязательству).</w:t>
      </w:r>
      <w:r/>
    </w:p>
    <w:p>
      <w:pPr>
        <w:ind w:firstLine="283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4.2.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Лица, указан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ные в пункте 11 статьи 47.6 Закона № 73-ФЗ, обязаны обеспечивать финансирование мероприятий, обеспечивающих выполнение требований к обеспечению доступа граждан Российской Федерации, иностранных граждан и лиц без гражданства к объекту культурного наследия. 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left="360"/>
        <w:jc w:val="center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b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  <w:lang w:bidi="ru-RU"/>
        </w:rPr>
        <w:t xml:space="preserve">Раздел 5. Требования к размещению наружной рекламы на объектах культурного наследия, их территориях</w:t>
      </w:r>
      <w:r>
        <w:rPr>
          <w:rFonts w:ascii="PT Astra Serif" w:hAnsi="PT Astra Serif" w:cs="PT Astra Serif" w:eastAsia="PT Astra Serif"/>
          <w:b/>
          <w:color w:val="000000"/>
          <w:sz w:val="24"/>
          <w:szCs w:val="24"/>
        </w:rPr>
        <w:t xml:space="preserve"> в случае, если их размещение допускается в соответствии с законодательством Российской Федерации</w:t>
      </w:r>
      <w:r/>
    </w:p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5.1.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br/>
        <w:t xml:space="preserve">35.1 Закона № 73-ФЗ: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-5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0"/>
      </w:tblGrid>
      <w:tr>
        <w:trPr/>
        <w:tc>
          <w:tcPr>
            <w:tcW w:w="93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на объектах культурного наследия, включенных в реестр, а также на их территориях не доп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культурно-просветительных и зрелищно-развлекательных меропри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чем десять процентов рекламной площади (пространства).</w:t>
            </w:r>
            <w:r/>
          </w:p>
        </w:tc>
      </w:tr>
    </w:tbl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b/>
          <w:sz w:val="24"/>
          <w:szCs w:val="24"/>
        </w:rPr>
        <w:outlineLvl w:val="2"/>
      </w:pPr>
      <w:r/>
      <w:bookmarkStart w:id="0" w:name="bookmark2"/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  <w:lang w:bidi="ru-RU"/>
        </w:rPr>
        <w:br/>
        <w:t xml:space="preserve">обозначений на объект культурного наследия</w:t>
      </w:r>
      <w:bookmarkEnd w:id="0"/>
      <w:r/>
      <w:r/>
    </w:p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6.1.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информацию об объекте культурного наследия, в порядке, определенном пунктом 2 статьи 27 Закона № 73-ФЗ.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6.2.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Сведения об информационной надписи и обозначениях на объекте культурного наследия: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shd w:val="clear" w:fill="auto" w:color="auto"/>
            <w:tcW w:w="923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установлена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 </w:t>
            </w:r>
            <w:r/>
          </w:p>
        </w:tc>
      </w:tr>
    </w:tbl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left="20"/>
        <w:jc w:val="center"/>
        <w:widowControl w:val="off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>
        <w:rPr>
          <w:rFonts w:ascii="PT Astra Serif" w:hAnsi="PT Astra Serif" w:cs="PT Astra Serif" w:eastAsia="PT Astra Serif"/>
          <w:b/>
          <w:bCs/>
          <w:color w:val="000000"/>
          <w:sz w:val="24"/>
          <w:szCs w:val="24"/>
          <w:lang w:bidi="ru-RU"/>
        </w:rPr>
        <w:br/>
        <w:t xml:space="preserve">объекта культурного наследия</w:t>
      </w:r>
      <w:r/>
    </w:p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7.1.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предусмотрены приказом Минкультуры России от 20 но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Федерации».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7.2.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границах его территории или его буферной зоны.</w:t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7.3.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Необходимость проведения работ по консервации и реставрации объекта культу</w:t>
      </w:r>
      <w:r>
        <w:rPr>
          <w:rFonts w:ascii="PT Astra Serif" w:hAnsi="PT Astra Serif" w:cs="PT Astra Serif" w:eastAsia="PT Astra Serif"/>
          <w:color w:val="000000"/>
          <w:sz w:val="24"/>
          <w:szCs w:val="24"/>
          <w:lang w:bidi="ru-RU"/>
        </w:rPr>
        <w:t xml:space="preserve">рного наследия физическими лицами, аттестованными Минкультуры России, состоящими в трудовых отношениях с юридическими лицами или индивидуальными предпринимателями, имеющими лицензию на осуществление деятельности по сохранению объектов культурного наследия:</w:t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6"/>
          <w:szCs w:val="16"/>
        </w:rPr>
      </w:pPr>
      <w:r>
        <w:rPr>
          <w:rFonts w:ascii="PT Astra Serif" w:hAnsi="PT Astra Serif" w:cs="PT Astra Serif" w:eastAsia="PT Astra Serif"/>
          <w:color w:val="000000"/>
          <w:sz w:val="16"/>
          <w:szCs w:val="16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237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в соответствии с пунктом 6 статьи 45 Закона № 73-ФЗ.</w:t>
            </w:r>
            <w:r/>
          </w:p>
        </w:tc>
      </w:tr>
    </w:tbl>
    <w:p>
      <w:pPr>
        <w:ind w:right="-1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left="709" w:right="-1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/>
    </w:p>
    <w:p>
      <w:pPr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  <w:br w:type="page"/>
      </w:r>
      <w:r/>
    </w:p>
    <w:tbl>
      <w:tblPr>
        <w:tblStyle w:val="883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>
        <w:trPr/>
        <w:tc>
          <w:tcPr>
            <w:tcW w:w="5097" w:type="dxa"/>
            <w:textDirection w:val="lrTb"/>
            <w:noWrap w:val="false"/>
          </w:tcPr>
          <w:p>
            <w:pPr>
              <w:ind w:left="28" w:right="-1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</w:rPr>
              <w:t xml:space="preserve">Приложение № 1 </w:t>
            </w:r>
            <w:r/>
          </w:p>
          <w:p>
            <w:pPr>
              <w:ind w:left="28" w:right="-1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  <w:lang w:bidi="ru-RU"/>
              </w:rPr>
              <w:t xml:space="preserve"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</w:rPr>
              <w:t xml:space="preserve"> </w:t>
            </w:r>
            <w:r/>
          </w:p>
        </w:tc>
      </w:tr>
    </w:tbl>
    <w:p>
      <w:pPr>
        <w:ind w:right="-1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Состав (перечень) и сроки (периодичность) работ по сохранению объекта культурного наследия</w:t>
      </w:r>
      <w:r/>
    </w:p>
    <w:p>
      <w:pPr>
        <w:pStyle w:val="1056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sz w:val="26"/>
        </w:rPr>
      </w:r>
      <w:r/>
    </w:p>
    <w:tbl>
      <w:tblPr>
        <w:tblW w:w="9243" w:type="dxa"/>
        <w:tblInd w:w="108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864"/>
        <w:gridCol w:w="2977"/>
        <w:gridCol w:w="2835"/>
      </w:tblGrid>
      <w:tr>
        <w:trPr/>
        <w:tc>
          <w:tcPr>
            <w:shd w:val="clear" w:fill="auto" w:color="auto"/>
            <w:tcW w:w="567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4"/>
                <w:szCs w:val="24"/>
                <w:lang w:bidi="ar-SA" w:eastAsia="ru-RU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  <w:lang w:bidi="ar-SA" w:eastAsia="ru-RU"/>
              </w:rPr>
              <w:t xml:space="preserve">№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4"/>
                <w:szCs w:val="24"/>
                <w:lang w:bidi="ar-SA" w:eastAsia="ru-RU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  <w:lang w:bidi="ar-SA" w:eastAsia="ru-RU"/>
              </w:rPr>
              <w:t xml:space="preserve">п/п</w:t>
            </w:r>
            <w:r/>
          </w:p>
        </w:tc>
        <w:tc>
          <w:tcPr>
            <w:shd w:val="clear" w:fill="auto" w:color="auto"/>
            <w:tcW w:w="2864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4"/>
                <w:szCs w:val="24"/>
                <w:lang w:bidi="ar-SA" w:eastAsia="ru-RU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  <w:lang w:bidi="ar-SA" w:eastAsia="ru-RU"/>
              </w:rPr>
              <w:t xml:space="preserve">Состав (перечень) </w:t>
            </w:r>
            <w:r/>
          </w:p>
          <w:p>
            <w:pPr>
              <w:contextualSpacing w:val="true"/>
              <w:rPr>
                <w:rFonts w:ascii="PT Astra Serif" w:hAnsi="PT Astra Serif"/>
                <w:sz w:val="24"/>
                <w:szCs w:val="24"/>
                <w:lang w:bidi="ar-SA" w:eastAsia="ru-RU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  <w:lang w:bidi="ar-SA" w:eastAsia="ru-RU"/>
              </w:rPr>
              <w:t xml:space="preserve">видов работ</w:t>
            </w:r>
            <w:r/>
          </w:p>
        </w:tc>
        <w:tc>
          <w:tcPr>
            <w:shd w:val="clear" w:fill="auto" w:color="auto"/>
            <w:tcW w:w="2977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4"/>
                <w:szCs w:val="24"/>
                <w:lang w:bidi="ar-SA" w:eastAsia="ru-RU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  <w:lang w:bidi="ar-SA" w:eastAsia="ru-RU"/>
              </w:rPr>
              <w:t xml:space="preserve">Сроки (периодичность) проведения работ</w:t>
            </w:r>
            <w:r/>
          </w:p>
        </w:tc>
        <w:tc>
          <w:tcPr>
            <w:shd w:val="clear" w:fill="auto" w:color="auto"/>
            <w:tcW w:w="2835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4"/>
                <w:szCs w:val="24"/>
                <w:lang w:bidi="ar-SA" w:eastAsia="ru-RU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Примечание</w:t>
            </w:r>
            <w:r>
              <w:rPr>
                <w:rStyle w:val="1012"/>
                <w:rFonts w:ascii="PT Astra Serif" w:hAnsi="PT Astra Serif"/>
                <w:sz w:val="24"/>
                <w:szCs w:val="24"/>
              </w:rPr>
              <w:footnoteReference w:id="3"/>
            </w:r>
            <w:r/>
          </w:p>
        </w:tc>
      </w:tr>
      <w:tr>
        <w:trPr/>
        <w:tc>
          <w:tcPr>
            <w:shd w:val="clear" w:fill="auto" w:color="auto"/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/>
          </w:p>
        </w:tc>
        <w:tc>
          <w:tcPr>
            <w:shd w:val="clear" w:fill="auto" w:color="auto"/>
            <w:tcW w:w="286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Поддерживать Объект в надлежащем техническом состоянии без ухудшения физического состояния и изменения предмета охраны. </w:t>
            </w:r>
            <w:r/>
          </w:p>
          <w:p>
            <w:p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 допускать ухудшения состояния территории объекта культурного наследия и поддерживать в благоустроенном состоянии.</w:t>
            </w:r>
            <w:r/>
          </w:p>
        </w:tc>
        <w:tc>
          <w:tcPr>
            <w:shd w:val="clear" w:fill="auto" w:color="auto"/>
            <w:tcW w:w="2977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4"/>
                <w:szCs w:val="24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</w:rPr>
              <w:t xml:space="preserve">в период эксплуатации</w:t>
            </w:r>
            <w:r/>
          </w:p>
        </w:tc>
        <w:tc>
          <w:tcPr>
            <w:shd w:val="clear" w:fill="auto" w:color="auto"/>
            <w:tcW w:w="2835" w:type="dxa"/>
            <w:textDirection w:val="lrTb"/>
            <w:noWrap w:val="false"/>
          </w:tcPr>
          <w:p>
            <w:pPr>
              <w:pStyle w:val="869"/>
              <w:numPr>
                <w:ilvl w:val="0"/>
                <w:numId w:val="10"/>
              </w:numPr>
              <w:ind w:left="0" w:firstLine="0"/>
              <w:tabs>
                <w:tab w:val="left" w:pos="317" w:leader="none"/>
              </w:tabs>
              <w:rPr>
                <w:rFonts w:ascii="PT Astra Serif" w:hAnsi="PT Astra Serif"/>
                <w:sz w:val="24"/>
                <w:szCs w:val="24"/>
                <w:lang w:bidi="ar-SA" w:eastAsia="ru-RU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/>
                <w:sz w:val="24"/>
                <w:szCs w:val="24"/>
                <w:lang w:bidi="ar-SA" w:eastAsia="ru-RU"/>
              </w:rPr>
              <w:t xml:space="preserve">акт технического состояния от 07.07.2022;</w:t>
            </w:r>
            <w:r/>
          </w:p>
          <w:p>
            <w:pPr>
              <w:pStyle w:val="869"/>
              <w:numPr>
                <w:ilvl w:val="0"/>
                <w:numId w:val="10"/>
              </w:numPr>
              <w:ind w:left="0" w:firstLine="34"/>
              <w:tabs>
                <w:tab w:val="left" w:pos="376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  <w:t xml:space="preserve">письмо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ОГАПОУ «ТМК имени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Э.В.Денисова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» от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04.08.2022 № 224;</w:t>
            </w:r>
            <w:r/>
          </w:p>
          <w:p>
            <w:pPr>
              <w:pStyle w:val="869"/>
              <w:numPr>
                <w:ilvl w:val="0"/>
                <w:numId w:val="10"/>
              </w:numPr>
              <w:ind w:left="0" w:firstLine="34"/>
              <w:tabs>
                <w:tab w:val="left" w:pos="376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письмо Департамента общего образования Томской области от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01.08.2022 № 57-3728;</w:t>
            </w:r>
            <w:r/>
          </w:p>
          <w:p>
            <w:pPr>
              <w:pStyle w:val="869"/>
              <w:numPr>
                <w:ilvl w:val="0"/>
                <w:numId w:val="10"/>
              </w:numPr>
              <w:ind w:left="0" w:firstLine="34"/>
              <w:tabs>
                <w:tab w:val="left" w:pos="376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письмо МТУ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Росимущества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в Кемеровской и Томской областях от 12.08.2022 № 42-АЛ-09/8178</w:t>
            </w:r>
            <w:r/>
          </w:p>
        </w:tc>
      </w:tr>
    </w:tbl>
    <w:p>
      <w:pPr>
        <w:shd w:val="nil"/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  <w:br w:type="page"/>
      </w: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</w:p>
    <w:p>
      <w:pPr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/>
    </w:p>
    <w:tbl>
      <w:tblPr>
        <w:tblStyle w:val="883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>
        <w:trPr/>
        <w:tc>
          <w:tcPr>
            <w:tcW w:w="5108" w:type="dxa"/>
            <w:textDirection w:val="lrTb"/>
            <w:noWrap w:val="false"/>
          </w:tcPr>
          <w:p>
            <w:pPr>
              <w:ind w:left="28" w:right="-1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</w:rPr>
              <w:t xml:space="preserve">Приложение № 2</w:t>
            </w:r>
            <w:r/>
          </w:p>
          <w:p>
            <w:pPr>
              <w:ind w:left="28" w:right="-1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  <w:lang w:bidi="ru-RU"/>
              </w:rPr>
              <w:t xml:space="preserve"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>
              <w:rPr>
                <w:rFonts w:ascii="PT Astra Serif" w:hAnsi="PT Astra Serif" w:cs="PT Astra Serif" w:eastAsia="PT Astra Serif"/>
                <w:color w:val="000000"/>
                <w:sz w:val="20"/>
                <w:szCs w:val="20"/>
              </w:rPr>
              <w:t xml:space="preserve"> </w:t>
            </w:r>
            <w:r/>
          </w:p>
        </w:tc>
      </w:tr>
    </w:tbl>
    <w:p>
      <w:pPr>
        <w:ind w:right="-1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right="-1" w:firstLine="708"/>
        <w:jc w:val="center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b/>
          <w:color w:val="000000"/>
          <w:sz w:val="24"/>
          <w:szCs w:val="24"/>
        </w:rPr>
        <w:t xml:space="preserve">Требовани</w:t>
      </w:r>
      <w:r>
        <w:rPr>
          <w:rFonts w:ascii="PT Astra Serif" w:hAnsi="PT Astra Serif" w:cs="PT Astra Serif" w:eastAsia="PT Astra Serif"/>
          <w:b/>
          <w:color w:val="000000"/>
          <w:sz w:val="24"/>
          <w:szCs w:val="24"/>
        </w:rPr>
        <w:t xml:space="preserve">я к 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</w:t>
      </w:r>
      <w:r>
        <w:rPr>
          <w:rFonts w:ascii="PT Astra Serif" w:hAnsi="PT Astra Serif" w:cs="PT Astra Serif" w:eastAsia="PT Astra Serif"/>
          <w:b/>
          <w:color w:val="000000"/>
          <w:sz w:val="24"/>
          <w:szCs w:val="24"/>
        </w:rPr>
        <w:t xml:space="preserve">ультуры)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  <w:r/>
    </w:p>
    <w:p>
      <w:pPr>
        <w:ind w:right="-1" w:firstLine="708"/>
        <w:jc w:val="center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  <w:t xml:space="preserve">1.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1012"/>
          <w:rFonts w:ascii="PT Astra Serif" w:hAnsi="PT Astra Serif" w:cs="PT Astra Serif" w:eastAsia="PT Astra Serif"/>
          <w:color w:val="000000"/>
          <w:sz w:val="24"/>
          <w:szCs w:val="24"/>
        </w:rPr>
        <w:footnoteReference w:id="4"/>
      </w:r>
      <w:r>
        <w:rPr>
          <w:rFonts w:ascii="PT Astra Serif" w:hAnsi="PT Astra Serif" w:cs="PT Astra Serif" w:eastAsia="PT Astra Serif"/>
          <w:color w:val="000000"/>
          <w:sz w:val="24"/>
          <w:szCs w:val="24"/>
        </w:rPr>
        <w:t xml:space="preserve">:</w:t>
      </w:r>
      <w:r/>
    </w:p>
    <w:p>
      <w:pPr>
        <w:ind w:right="-1" w:firstLine="708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0"/>
          <w:szCs w:val="20"/>
        </w:rPr>
      </w:pPr>
      <w:r>
        <w:rPr>
          <w:rFonts w:ascii="PT Astra Serif" w:hAnsi="PT Astra Serif" w:cs="PT Astra Serif" w:eastAsia="PT Astra Serif"/>
          <w:color w:val="000000"/>
          <w:sz w:val="20"/>
          <w:szCs w:val="20"/>
        </w:rPr>
      </w:r>
      <w:r/>
    </w:p>
    <w:tbl>
      <w:tblPr>
        <w:tblStyle w:val="883"/>
        <w:tblW w:w="9570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4424"/>
        <w:gridCol w:w="4046"/>
      </w:tblGrid>
      <w:tr>
        <w:trPr/>
        <w:tc>
          <w:tcPr>
            <w:shd w:val="clear" w:fill="auto" w:color="auto"/>
            <w:tcW w:w="11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t xml:space="preserve">№ п/п</w:t>
            </w:r>
            <w:r/>
          </w:p>
        </w:tc>
        <w:tc>
          <w:tcPr>
            <w:shd w:val="clear" w:fill="auto" w:color="auto"/>
            <w:tcW w:w="442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t xml:space="preserve">Условия доступа к объекту культурного наследия</w:t>
            </w:r>
            <w:r/>
          </w:p>
        </w:tc>
        <w:tc>
          <w:tcPr>
            <w:shd w:val="clear" w:fill="auto" w:color="auto"/>
            <w:tcW w:w="404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t xml:space="preserve">Примечание</w:t>
            </w:r>
            <w:r>
              <w:rPr>
                <w:rStyle w:val="1012"/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footnoteReference w:id="5"/>
            </w:r>
            <w:r/>
          </w:p>
        </w:tc>
      </w:tr>
      <w:tr>
        <w:trPr>
          <w:trHeight w:val="276"/>
        </w:trPr>
        <w:tc>
          <w:tcPr>
            <w:shd w:val="clear" w:fill="auto" w:color="auto"/>
            <w:tcW w:w="11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</w:t>
            </w:r>
            <w:r/>
          </w:p>
        </w:tc>
        <w:tc>
          <w:tcPr>
            <w:shd w:val="clear" w:fill="auto" w:color="auto"/>
            <w:tcW w:w="442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Обеспечить доступ гражданам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Российской Федерации, иностранным гражданам и лицам без гражданства к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объекту культурного наследия (на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его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территорию) в соответствии с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распорядком, установленным собственниками или иными законными владельца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ми объекта культурного наследия</w:t>
            </w:r>
            <w:r/>
          </w:p>
        </w:tc>
        <w:tc>
          <w:tcPr>
            <w:shd w:val="clear" w:fill="auto" w:color="auto"/>
            <w:tcW w:w="4046" w:type="dxa"/>
            <w:textDirection w:val="lrTb"/>
            <w:noWrap w:val="false"/>
          </w:tcPr>
          <w:p>
            <w:pPr>
              <w:pStyle w:val="869"/>
              <w:numPr>
                <w:ilvl w:val="0"/>
                <w:numId w:val="12"/>
              </w:numPr>
              <w:ind w:left="0" w:firstLine="0"/>
              <w:tabs>
                <w:tab w:val="left" w:pos="376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  <w:t xml:space="preserve">письмо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ОГАПОУ «ТМК имени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Э.В.Денисова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» от 04.08.2022 № 224;</w:t>
            </w:r>
            <w:r/>
          </w:p>
          <w:p>
            <w:pPr>
              <w:pStyle w:val="869"/>
              <w:numPr>
                <w:ilvl w:val="0"/>
                <w:numId w:val="12"/>
              </w:numPr>
              <w:ind w:left="0" w:firstLine="0"/>
              <w:tabs>
                <w:tab w:val="left" w:pos="376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письмо Департамента общего образования Томской области от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01.08.2022 № 57-3728;</w:t>
            </w:r>
            <w:r/>
          </w:p>
          <w:p>
            <w:pPr>
              <w:pStyle w:val="869"/>
              <w:numPr>
                <w:ilvl w:val="0"/>
                <w:numId w:val="12"/>
              </w:numPr>
              <w:ind w:left="0" w:firstLine="0"/>
              <w:tabs>
                <w:tab w:val="left" w:pos="261" w:leader="none"/>
              </w:tabs>
              <w:rPr>
                <w:rFonts w:ascii="PT Astra Serif" w:hAnsi="PT Astra Serif" w:cs="PT Astra Serif" w:eastAsia="PT Astra Serif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письмо МТУ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Росимущества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в Кемеровской и Томс</w:t>
            </w:r>
            <w:bookmarkStart w:id="1" w:name="_GoBack"/>
            <w:r/>
            <w:bookmarkEnd w:id="1"/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кой областях от 12.08.2022 № 42-АЛ-09/8178</w:t>
            </w:r>
            <w:r/>
          </w:p>
        </w:tc>
      </w:tr>
    </w:tbl>
    <w:p>
      <w:pPr>
        <w:ind w:right="-1" w:firstLine="708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</w:r>
      <w:r/>
    </w:p>
    <w:p>
      <w:pPr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24"/>
        </w:rPr>
      </w:pPr>
      <w:r>
        <w:rPr>
          <w:rFonts w:ascii="PT Astra Serif" w:hAnsi="PT Astra Serif" w:cs="PT Astra Serif" w:eastAsia="PT Astra Serif"/>
          <w:color w:val="000000"/>
          <w:sz w:val="24"/>
          <w:szCs w:val="24"/>
        </w:rPr>
        <w:t xml:space="preserve">2. Условия доступа к объекту культ</w:t>
      </w:r>
      <w:r>
        <w:rPr>
          <w:rFonts w:ascii="PT Astra Serif" w:hAnsi="PT Astra Serif" w:cs="PT Astra Serif" w:eastAsia="PT Astra Serif"/>
          <w:color w:val="000000"/>
          <w:sz w:val="24"/>
          <w:szCs w:val="24"/>
        </w:rPr>
        <w:t xml:space="preserve">урного наследия религиозного назначения с учетом требований к внешнему виду и поведению лиц, находящихся в границах территорий указанного объекта культурного наследия религиозного назначения, соответствующие внутренним установлениям религиозной организации</w:t>
      </w:r>
      <w:r>
        <w:rPr>
          <w:rStyle w:val="1012"/>
          <w:rFonts w:ascii="PT Astra Serif" w:hAnsi="PT Astra Serif" w:cs="PT Astra Serif" w:eastAsia="PT Astra Serif"/>
          <w:color w:val="000000"/>
          <w:sz w:val="24"/>
          <w:szCs w:val="24"/>
        </w:rPr>
        <w:footnoteReference w:id="6"/>
      </w:r>
      <w:r>
        <w:rPr>
          <w:rFonts w:ascii="PT Astra Serif" w:hAnsi="PT Astra Serif" w:cs="PT Astra Serif" w:eastAsia="PT Astra Serif"/>
          <w:color w:val="000000"/>
          <w:sz w:val="24"/>
          <w:szCs w:val="24"/>
        </w:rPr>
        <w:t xml:space="preserve">:</w:t>
      </w:r>
      <w:r/>
    </w:p>
    <w:p>
      <w:pPr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0"/>
          <w:szCs w:val="20"/>
        </w:rPr>
      </w:pPr>
      <w:r>
        <w:rPr>
          <w:rFonts w:ascii="PT Astra Serif" w:hAnsi="PT Astra Serif" w:cs="PT Astra Serif" w:eastAsia="PT Astra Serif"/>
          <w:color w:val="000000"/>
          <w:sz w:val="20"/>
          <w:szCs w:val="20"/>
        </w:rPr>
      </w:r>
      <w:r/>
    </w:p>
    <w:tbl>
      <w:tblPr>
        <w:tblStyle w:val="883"/>
        <w:tblW w:w="9570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416"/>
        <w:gridCol w:w="3054"/>
      </w:tblGrid>
      <w:tr>
        <w:trPr/>
        <w:tc>
          <w:tcPr>
            <w:tcW w:w="11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t xml:space="preserve">№ п/п</w:t>
            </w:r>
            <w:r/>
          </w:p>
        </w:tc>
        <w:tc>
          <w:tcPr>
            <w:tcW w:w="541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t xml:space="preserve">Условия доступа к объекту культурного наследия</w:t>
            </w:r>
            <w:r/>
          </w:p>
        </w:tc>
        <w:tc>
          <w:tcPr>
            <w:tcW w:w="305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t xml:space="preserve">Примечание</w:t>
            </w:r>
            <w:r>
              <w:rPr>
                <w:rStyle w:val="1012"/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footnoteReference w:id="7"/>
            </w:r>
            <w:r/>
          </w:p>
        </w:tc>
      </w:tr>
      <w:tr>
        <w:trPr>
          <w:trHeight w:val="276"/>
        </w:trPr>
        <w:tc>
          <w:tcPr>
            <w:tcW w:w="11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</w:t>
            </w:r>
            <w:r/>
          </w:p>
        </w:tc>
        <w:tc>
          <w:tcPr>
            <w:shd w:val="clear" w:fill="auto" w:color="auto"/>
            <w:tcW w:w="541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На момент утверждения охранного обязательства объектом культурного наследия религиозного назначения не является</w:t>
            </w:r>
            <w:r/>
          </w:p>
        </w:tc>
        <w:tc>
          <w:tcPr>
            <w:tcW w:w="305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spacing w:before="120"/>
        <w:rPr>
          <w:rFonts w:ascii="PT Astra Serif" w:hAnsi="PT Astra Serif" w:cs="PT Astra Serif" w:eastAsia="PT Astra Serif"/>
        </w:rPr>
        <w:sectPr>
          <w:headerReference w:type="first" r:id="rId12"/>
          <w:footnotePr/>
          <w:endnotePr/>
          <w:type w:val="nextPage"/>
          <w:pgSz w:w="11907" w:h="16840" w:orient="portrait"/>
          <w:pgMar w:top="993" w:right="851" w:bottom="568" w:left="1701" w:header="720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>
        <w:trPr>
          <w:cantSplit/>
          <w:jc w:val="right"/>
          <w:trHeight w:val="425" w:hRule="exact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954" w:type="dxa"/>
            <w:vAlign w:val="center"/>
            <w:textDirection w:val="lrTb"/>
            <w:noWrap w:val="false"/>
          </w:tcPr>
          <w:p>
            <w:pPr>
              <w:ind w:right="113"/>
              <w:jc w:val="right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Экземпляр №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</w:t>
            </w:r>
            <w:r/>
          </w:p>
        </w:tc>
      </w:tr>
    </w:tbl>
    <w:p>
      <w:pPr>
        <w:rPr>
          <w:rFonts w:ascii="PT Astra Serif" w:hAnsi="PT Astra Serif" w:cs="PT Astra Serif" w:eastAsia="PT Astra Serif"/>
          <w:sz w:val="2"/>
          <w:szCs w:val="2"/>
        </w:rPr>
      </w:pPr>
      <w:r>
        <w:rPr>
          <w:rFonts w:ascii="PT Astra Serif" w:hAnsi="PT Astra Serif" w:cs="PT Astra Serif" w:eastAsia="PT Astra Serif"/>
          <w:sz w:val="2"/>
          <w:szCs w:val="2"/>
        </w:rPr>
      </w:r>
      <w:r/>
    </w:p>
    <w:tbl>
      <w:tblPr>
        <w:tblW w:w="0" w:type="auto"/>
        <w:jc w:val="right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>
        <w:trPr>
          <w:cantSplit/>
          <w:jc w:val="right"/>
          <w:trHeight w:val="397" w:hRule="exact"/>
        </w:trPr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7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8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tcW w:w="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  <w:r/>
          </w:p>
        </w:tc>
      </w:tr>
    </w:tbl>
    <w:p>
      <w:pPr>
        <w:jc w:val="right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Регистрационный номер объекта культурного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наследия в едином государственном реестре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объектов культурного наследия (памятников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истории и культуры) народов Российской Федерации</w:t>
      </w:r>
      <w:r/>
    </w:p>
    <w:p>
      <w:pPr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</w:r>
      <w:r/>
    </w:p>
    <w:p>
      <w:pPr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</w:r>
      <w:r/>
    </w:p>
    <w:p>
      <w:pPr>
        <w:jc w:val="center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  <w:t xml:space="preserve">Паспорт объекта культурного наследия</w:t>
      </w:r>
      <w:r/>
    </w:p>
    <w:p>
      <w:pPr>
        <w:jc w:val="center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Фотографическое изображение объекта культурного наследия, </w:t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за исключением отдельных объектов археологического</w:t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 наследия, фотографическое изображение которых</w:t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 вносится на основании решения соответствующего</w:t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 органа охраны объектов культурного наследия</w:t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  <w:lang w:bidi="ar-SA" w:eastAsia="ru-RU"/>
        </w:rPr>
      </w:pPr>
      <w:r>
        <w:rPr>
          <w:rFonts w:ascii="PT Astra Serif" w:hAnsi="PT Astra Serif" w:cs="PT Astra Serif" w:eastAsia="PT Astra Serif"/>
          <w:sz w:val="24"/>
          <w:szCs w:val="24"/>
          <w:lang w:bidi="ar-SA" w:eastAsia="ru-RU"/>
        </w:rPr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  <w:lang w:bidi="ar-SA"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39538" cy="3530009"/>
                <wp:effectExtent l="0" t="0" r="4445" b="0"/>
                <wp:docPr id="2" name="Рисунок 2" descr="\\10.0.58.5\memorial\06-18 ГОСУДАРСТВЕННЫЙ НАДЗОР - ПРОВЕРКИ\_2022 ГОД\Обследования-фотофиксация раз в 5 лет (РОКН)\Ленина,111\фото 07_07_2022\IMG_8165.JPG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\\10.0.58.5\memorial\06-18 ГОСУДАРСТВЕННЫЙ НАДЗОР - ПРОВЕРКИ\_2022 ГОД\Обследования-фотофиксация раз в 5 лет (РОКН)\Ленина,111\фото 07_07_2022\IMG_8165.JPG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18"/>
                        <a:srcRect l="0" t="0" r="0" b="20742"/>
                        <a:stretch/>
                      </pic:blipFill>
                      <pic:spPr bwMode="auto">
                        <a:xfrm>
                          <a:off x="0" y="0"/>
                          <a:ext cx="5939790" cy="35301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mso-wrap-distance-left:0.0pt;mso-wrap-distance-top:0.0pt;mso-wrap-distance-right:0.0pt;mso-wrap-distance-bottom:0.0pt;width:467.7pt;height:278.0pt;" stroked="f">
                <v:path textboxrect="0,0,0,0"/>
                <v:imagedata r:id="rId18" o:title=""/>
              </v:shape>
            </w:pict>
          </mc:Fallback>
        </mc:AlternateContent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tbl>
      <w:tblPr>
        <w:tblW w:w="0" w:type="auto"/>
        <w:tblInd w:w="5557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>
        <w:trPr>
          <w:trHeight w:val="425" w:hRule="exact"/>
        </w:trPr>
        <w:tc>
          <w:tcPr>
            <w:shd w:val="clear" w:fill="auto" w:color="auto"/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shd w:val="clear" w:fill="auto" w:color="auto"/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7</w:t>
            </w:r>
            <w:r/>
          </w:p>
        </w:tc>
        <w:tc>
          <w:tcPr>
            <w:shd w:val="clear" w:fill="auto" w:color="auto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</w:t>
            </w:r>
            <w:r/>
          </w:p>
        </w:tc>
        <w:tc>
          <w:tcPr>
            <w:shd w:val="clear" w:fill="auto" w:color="auto"/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shd w:val="clear" w:fill="auto" w:color="auto"/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7</w:t>
            </w:r>
            <w:r/>
          </w:p>
        </w:tc>
        <w:tc>
          <w:tcPr>
            <w:shd w:val="clear" w:fill="auto" w:color="auto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</w:t>
            </w:r>
            <w:r/>
          </w:p>
        </w:tc>
        <w:tc>
          <w:tcPr>
            <w:shd w:val="clear" w:fill="auto" w:color="auto"/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</w:t>
            </w:r>
            <w:r/>
          </w:p>
        </w:tc>
        <w:tc>
          <w:tcPr>
            <w:shd w:val="clear" w:fill="auto" w:color="auto"/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0</w:t>
            </w:r>
            <w:r/>
          </w:p>
        </w:tc>
        <w:tc>
          <w:tcPr>
            <w:shd w:val="clear" w:fill="auto" w:color="auto"/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</w:t>
            </w:r>
            <w:r/>
          </w:p>
        </w:tc>
        <w:tc>
          <w:tcPr>
            <w:shd w:val="clear" w:fill="auto" w:color="auto"/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</w:t>
            </w:r>
            <w:r/>
          </w:p>
        </w:tc>
      </w:tr>
    </w:tbl>
    <w:p>
      <w:pPr>
        <w:ind w:left="5500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Дата съемки (число, месяц, год)</w:t>
      </w:r>
      <w:r/>
    </w:p>
    <w:p>
      <w:pPr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ind w:firstLine="708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1. Сведения о наименовании объекта культурного наследия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15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textDirection w:val="lrTb"/>
            <w:noWrap w:val="false"/>
          </w:tcPr>
          <w:p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«Пассаж Второва, нач. ХХ в.»</w:t>
            </w:r>
            <w:r/>
          </w:p>
        </w:tc>
      </w:tr>
    </w:tbl>
    <w:p>
      <w:pPr>
        <w:jc w:val="both"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ind w:firstLine="708"/>
        <w:jc w:val="both"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исторических событий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61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textDirection w:val="lrTb"/>
            <w:noWrap w:val="false"/>
          </w:tcPr>
          <w:p>
            <w:pPr>
              <w:ind w:left="109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1905 г., 1918 г.</w:t>
            </w:r>
            <w:r/>
          </w:p>
        </w:tc>
      </w:tr>
    </w:tbl>
    <w:p>
      <w:pPr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ind w:firstLine="708"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3. Сведения о категории историко-культурного значения объекта культурного наследия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>
        <w:trPr/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Федерального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br/>
              <w:t xml:space="preserve">значения</w:t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Регионального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br/>
              <w:t xml:space="preserve">значения</w:t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Местного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br/>
              <w:t xml:space="preserve">(муниципального)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br/>
              <w:t xml:space="preserve">значения</w:t>
            </w:r>
            <w:r/>
          </w:p>
        </w:tc>
      </w:tr>
      <w:tr>
        <w:trPr/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Х</w:t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ind w:firstLine="708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4. Сведения о виде объекта культурного наследия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>
        <w:trPr/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Памятник</w:t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Ансамбль</w:t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Достопримечательное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br/>
              <w:t xml:space="preserve">место</w:t>
            </w:r>
            <w:r/>
          </w:p>
        </w:tc>
      </w:tr>
      <w:tr>
        <w:trPr/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Х</w:t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/>
          </w:p>
        </w:tc>
      </w:tr>
    </w:tbl>
    <w:p>
      <w:pPr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истории и культуры) народов Российской Федерации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17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textDirection w:val="lrTb"/>
            <w:noWrap w:val="false"/>
          </w:tcPr>
          <w:p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Решение Исполнительного комитета Томского областного Совета народных депутатов от 17.02.1978 № 51 «О дополнительной постановке на охрану памятников истории 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культуры Томской области» </w:t>
            </w:r>
            <w:r/>
          </w:p>
        </w:tc>
      </w:tr>
    </w:tbl>
    <w:p>
      <w:pPr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6. Сведения о местонахождении объекта культурного наследия (адрес объекта или при его отсутствии описание местоположения объекта)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57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textDirection w:val="lrTb"/>
            <w:noWrap w:val="false"/>
          </w:tcPr>
          <w:p>
            <w:pPr>
              <w:ind w:left="109" w:right="147"/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Томская область, г. Томск, Советский район, Ленина (проспект), 111, угол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Батенькова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(переулок), 1</w:t>
            </w:r>
            <w:r/>
          </w:p>
        </w:tc>
      </w:tr>
    </w:tbl>
    <w:p>
      <w:pPr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культурного наследия (памятников истории и культуры) народов Российской Федерации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>
          <w:trHeight w:val="665"/>
        </w:trPr>
        <w:tc>
          <w:tcPr>
            <w:shd w:val="clear" w:fill="auto" w:color="auto"/>
            <w:tcBorders>
              <w:top w:val="single" w:color="000000" w:sz="4" w:space="0"/>
              <w:bottom w:val="single" w:color="000000" w:sz="4" w:space="0"/>
            </w:tcBorders>
            <w:tcW w:w="9356" w:type="dxa"/>
            <w:textDirection w:val="lrTb"/>
            <w:noWrap w:val="false"/>
          </w:tcPr>
          <w:p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Границы территории объекта культурного наследия утверждены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Приказом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Комитета по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охране объектов культурного наследия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19.01.2022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№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0003/01-07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«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Об утверждении границ территории объекта культурного наследия регионального значения «Пассаж Второва, нач. ХХ в.», расположенного на территории г. Томска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(зарегистрированы в ЕГРН под номером 70:21-8.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462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).</w:t>
            </w:r>
            <w:r/>
          </w:p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320877" cy="4370540"/>
                      <wp:effectExtent l="8573" t="0" r="2857" b="2858"/>
                      <wp:docPr id="3" name="Рисунок 4" descr="C:\Users\astafieva\Downloads\022 Графическое отображение границ (2).jpg" hidden="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C:\Users\astafieva\Downloads\022 Графическое отображение границ (2).jpg" hidden="0"/>
                              <pic:cNvPicPr>
                                <a:picLocks noChangeAspect="1"/>
                              </pic:cNvPicPr>
                              <pic:nvPr isPhoto="0" userDrawn="0"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 rot="5400000">
                                <a:off x="0" y="0"/>
                                <a:ext cx="3336649" cy="43912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261.5pt;height:344.1pt;rotation:90;" stroked="f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/>
          </w:p>
        </w:tc>
      </w:tr>
    </w:tbl>
    <w:p>
      <w:pPr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8. Описание предмета охраны объекта культурного наследия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4A0" w:firstRow="1" w:lastRow="0" w:firstColumn="1" w:lastColumn="0" w:noHBand="0" w:noVBand="1"/>
      </w:tblPr>
      <w:tblGrid>
        <w:gridCol w:w="9344"/>
      </w:tblGrid>
      <w:tr>
        <w:trPr/>
        <w:tc>
          <w:tcPr>
            <w:shd w:val="clear" w:fill="auto" w:color="auto"/>
            <w:tcW w:w="9570" w:type="dxa"/>
            <w:textDirection w:val="lrTb"/>
            <w:noWrap w:val="false"/>
          </w:tcPr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Согласно Приказу 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24.12.2020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№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0173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/01-07 «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Об утверждении предмета охраны объекта культурного наследия регионального значения «Пассаж Второва, нач. ХХ в.» (г. Томск)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»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предметом охраны объекта культурного наследия являются: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Градостроительные характеристики здания: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1.1.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Расположение здания в центральной части города, в сохранившейся истор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ической среде кон. XIX – нач. XX вв., в строчке сплошной фасадной застройки квартала. Здание угловое, занимает северо-западный угол квартала и своими главными фасадами ориентировано: западным – по красной линии пр. Ленина, северным – по красной линии пер.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Батенькова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с организацией внутреннего двора. Здание является градостроительной доминантой, замыкает перспективу Набережной реки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Ушайки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, формирует строчку застройки улиц,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периметральную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застройку центральной площади города, панорамный вид застройки центральной части города с реки Томи, с Набережной реки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Ушайки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, с площади Ленина и с мыса Воскресенской горы (место основания города).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1.2.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Габаритные размеры и силуэт здания на дату строительства нач. ХХ в. Здание с крупным угловым акцентом и протяженными боковыми крыльями, акцентированными возвышающимися ризалитами уличных фасадов. 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1.3.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Секторы и направления видовых раскрытий здания с пр. Ленина, пл. Ленина, пер.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Батенькова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, пл.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Батенькова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, Набережной реки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Ушайки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, с реки Томи и с внутри дворовой территории.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Объемно-пространственная композиция здания на дату строительства нач. ХХ в. Трехэтажное каменное здание с подвалом. Форма плана Г-образная со скошенным углом, по дворовым фасадам усложнена выступающими объемами лестничных блоков (полукруглым об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ъемом – по внутреннему углу и трапециевидным объемом – по юго-восточному углу), вдоль торца восточного крыла здания устроен сквозной проезд на территорию двора. Угловая часть здания более высокая. Высотные отметки по венчающему карнизу всех объемов здания.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Крыша на дату сохранившихся элементов ее конфигурация (вальмовая), конструкция (с применением металлических ферм), габаритные размеры и высотные отметки по коньку все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х объемов. Характер кровельного покрытия – листовой металл с фальцовкой и окраской. Слуховые окна их форма (полукруглые) и местоположение. Остекленные световые фонари их местоположение (на крыше боковых крыльев здания), форма, габаритные размеры, рисунок о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стекления. Водосточные трубы, восстановленные в процессе научной реставрации их местоположение и вид. Кирпичные брандмауэры и вентиляционные трубы. Кирпичные парапеты и столбики, расположенные по уличным фасадам здания их габаритные размеры, форма и декор.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4.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Композиция и архитектурно-художественное оформление фасадов здания на дату строительства нач. ХХ в., выполненное в стиле модерн: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4.1.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Уличные фасады боковых крыльев здания асимметричные фронтальной композиции решены в три композиционные оси, акцентированные возвышающимися над уровнем крыш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и ризалитами. Западный фасад решен в 14 осей оконных проемов, 1, 5 и 11 оси оконных проемов акцентированы ризалитами. Северный фасад решен в 10 осей окон с крупным прямоугольным проемом сквозного проезда по крайней левой оси фасада, 2, 6 и 10 оси оконных п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роемов акцентированы ризалитами. Угловой фасад более высокий, симметричной композиции, решен в 5 осей окон и акцентирован: высокими боковыми ризалитами с парапетными решетками на столбах в уровне крыши, по центральной оси – порталом парадного входа (1 этаж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) с не глубоким балконом в уровне 3-го этажа и лучковым фронтоном с крупным эллиптическим аттиком в уровне крыши. Дворовые фасады здания решены аналогично уличным фасадам: восточный фасад – в 14 осей окон 2-го этажа (22 окна в уровне 3-го этажа), южный – в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8 осей окон (15 окон в уровне 3-го этажа). Композиционные оси фасадов фиксируют места расположения лестничных блоков и акцентированы ризалитами или выступающими объемами. Внутренний скошенный угловой фасад с выступающим полукруглым угловым объемом решен в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уровне в уровне 2-го этажа – в 3 оси окон и в уровне 3-го этажа – в 2 оси окон (количество осей оконных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проемов 1-го этажа устанавливается по результатам реставрационных исследований). Торцевые фасады западного и северного крыльев здания и западный фасад торцевого лестничного блока – «глухие», северный фасад торцевого лестничного блока решен в 2 оси проемов.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4.2.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Местоположение, форма и габаритные размеры основных входов: парадный вход – крупный прямоугольный проем высотой на два этажа для остекленной перегородки с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дверями, расположенный по центральной оси углового фасада; уличные входы – крупные прямоугольные проемы для двухстворчатых дверей с боковыми окнами и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остекленной фрамугой, расположенные по осям ризалитов западного и северного фасад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ов. Дворовые входы – прямоугольные для двухстворчатых дверей, расположенные по осям ризалитов дворовых фасадов и по осям лестничных клеток, дверной проем спуска в подвал – широкий лучковый, расположенный по центральной оси углового объема дворового фасада.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4.3.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Местоположение, размеры и форма оконных проемов. Оконные проемы уличных фасадов: в уровн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е 1-го и 2-го этажей крупные прямоугольные, окна 2-го этажа ризалитов боковых крыльев – узкие прямоугольные парные, оконные проемы 3-го этажа фасадов боковых крыльев арочные полуциркульные парные, окна ризалитов – крупные 3-х центровые. Оконные проемы угло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вого фасада: центральное окно 3-го этажа – крупное полуциркульное (на 2/3), боковые – крупные 3-х центровые, окна ризалитов – узкие прямоугольные. Оконные проемы дворовых фасадов (включая северный фасад торцевой лестницы): в уровне 1-го и 2-го этажей крупн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ые прямоугольные, окна 3-го этажа арочные полуциркульные парные, оконные проемы внутреннего углового фасада: боковые окна 1-го и 2-го этажей и центральные окна 3-го этажа прямоугольные разных типоразмеров, центральное окно 2-го этажа высокое 3-х центровое.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  <w:highlight w:val="none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4.4.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Декоративное оформление уличных фасадов здания: высокий массивный цоколь с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профилированным выступом, руст 1-го этажа, крупные пилястры на всю высоту здания, расположенные в оконных простенках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, широкий профилированный междуэтажный пояс в уровне 2-го этажа, прямоугольные филенки под оконными проемами 2-го и 3-го этажей, фигурный декор перемычек арочных окон 3-го этажа. Венчающий карниз здания профильный большого выноса с парапетным ограждением в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уровне крыши двух типов: кирпичный «глухой» и в виде ажурной кованой решетки в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стиле модерн на кирпичных столбах. Ризалиты с фигурным завершением, оформленные элементами лепного декора геометрической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формы (круглые, линейные). Наиболее декорирован угловой фасад здания с крупным лучковым аттиком: портал парадного входа с двумя ионическими ¾ колоннами, поддерживающими балкон 3-го этажа с кованым ограждением модерного рисунка на круглых столбах, ризалиты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с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высокими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парапетами и ажурными коваными решетками на круглых столбах, кованые парапетные решетки центрального фронтона. Богатый лепной декор: лепное обрамление аттика с грифонам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и по бокам, ионики (под карнизом фронтона и ризалитов) и кованые металлические кронштейны на карнизе ризалитов, стилизованный растительный орнамент в верхней части ризалитов (волнообразный, цветочный). Обрамление окон 3-го этажа ризалитов с прямоугольными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сандриками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. Профильное обрамление оконны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х проемов 3-го этажа с подоконным декором в виде штурвала с крыльями, увитыми лентами, лепной декор на лобовой части фронтона (в виде дерева) с обрамлением круглого отверстия под часы. Горизонтальный волнообразный лепной декор ризалитов и цветочные гирлянд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ы в обрамлении ниш (1-й этаж). Дворовые фасады решены проще: выступающий высокий цоколь, профильный карниз с широким фризом, широкие лопатки в оконных простенках, широкий междуэтажный пояс в уровне 2-го этажа, профильные пояса под фризом между пилястрами. 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bCs/>
                <w:sz w:val="24"/>
                <w:szCs w:val="24"/>
                <w:highlight w:val="none"/>
              </w:rPr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5.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Виды отделки фасадной поверхности здания на дату строительства нач. ХХ в., кирпичная кладка под штукатурку и элементы фасадного декора с окрашенной поверхностью (в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т.ч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. профильный штукатурный и лепной декор растительного орнамента).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6.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Колористическое решение фасадов здания на дату строительства нач. ХХ в., (устанавливается по результатам реставрационных исследований).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7.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Заполнения дверных и оконных проемов на дату сохранившихся элементов, (включая оконные и дверные заполнения, восстановленные в процессе научной реставрации) их материал (дерево), характер оформления, форма, габаритные размеры, рисунок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расстекловки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оконных рам и дверных фрамуг, профильные подоконники. Центральное крупное полуциркульное окно углового фасада с балконной дверью (исторический вид устанавливается по результа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там реставрационных исследований). Внутренние двери: деревянные двупольные со скругленными по верхним углам остекленными фрамугами, накладным резным декором и декором полотен в стиле модерн, деревянное фигурное обрамление проема в модерновой стилистике (на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отдельных проемах). Двупольные двери с фигурной филенкой полотна и широкой нижней обвязкой. Деревянные двупольные филенчатые двери. Дверные ручки прямые и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изогнутые (медь, латунь). Деревянные тамбуры в отдельных помещениях и их декор (профильный карниз, прямоугольные и фигурные филенки, декор модернового рисунка). Заполнение крупного арочного проема перегородки 3-го этажа угловой части здания с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веерным остеклением, вертикальной профильной обшивкой по бокам и квадрат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ными филенками в нижней части и лучковой двупольной дверью с фигурными филенками полотен. Исторический вид утраченных оконных и дверных заполнений, металлической решетки ворот сквозного проезда (устанавливается по результатам реставрационных исследований).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8.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Пространственно-планировочная структура интерьеров здания на дату строительства нач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. ХХ века в конструкциях капитальных стен, перекрытий и подлинных перегородок (зафиксированных исторической отделкой помещений), включая дверные проемы с клинчатыми и лучковыми перемычками и крупные арочные проемы (прямоугольные, полуциркульные, лучковые,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трехцентровые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) с широкими откосами (в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т.ч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. заложенные проемы). Планировочная структ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ура 1-го этажа здания и 2-го этажа восточного крыла, сформированная крупными зальными помещениями с уличными входами. Планировка углового двухсветного зального помещения, ограниченного дугообразной в плане стеной с балконом и помещением парадной лестницы,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расположенным по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центральной оси. Планировка 2-го этажа южного крыла и 3-го этажа здания – коридорная. Планировка подвала – анфиладная.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9.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Конструктивные элементы здания на дату строительства нач. ХХ в.: фундамент, кирпичные стены здания и кирпичные пилоны под балки перекрытия, металлические кованые связи, перекрытия – железобетонные по балкам, над отдельными помещениями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подвала кирпичные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своды по металлическим балкам, элементы стропильной системы крыши – металлические фермы, конструкции внутрен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него и наружного балконов, кирпичная колонна (в помещении подвала). Конструкция выноса кирпичного карниза на выпусках из полосового металла. Кирпичные перемычки всех оконных и дверных проемов, арок, ниш. Конструкция световых фонарей (нижняя часть – сруб из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окантованного бревна, верхняя – каркас с обшивкой, венчающая часть – остекленная).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10.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Лестницы на дату сохранившихся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элементов их местоположение, конфигурация маршей, конструкция, материал ступеней и их форма, ограждение. Парадная лестница – 3-х маршевая с широким центральным маршем, со ступенями из мрамора, с кованым металлическим ограждением крупного растительного орн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амента и деревянным профильным поручнем, расположенная по центральной оси угловой части здания. Лестницы боковых крыльев с уличными входами – широкие 2-х маршевые со ступенями из мрамора, кованым металлическим ограждением крупного растительного орнамента и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деревянным профильным поручнем. Служебные лестницы, ориентированные во двор – узкие с забежными ступенями (песчаник, бетон) и простым кованым ограждением. Лестницы подъема на чердак.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11.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Архитектурно-художественное оформление интерьеров на дату сохранившихся элементов декоративного оформления, выполненные в стиле модерн их рисунок, материал, форма, габаритные размеры и профиль сечения (в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т.ч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. отдельные элементы, восстановленные в процессе научной реставрации).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11.1.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Интерьеры торговых помещений 1-го этажа: профильный декор балок перекрытия (в виде кессонов), рельефный фриз (в отдельных помещениях), декоративное оформление пилонов и ригелей со скругленными углами (профильный шту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катурный декор откоса, декор геометрического орнамента). Покрытие пола из метлахской керамической плитки восьмигранной формы желтого цвета с вставками из квадратных плиток темно-коричневого цвета, по периметру (бордюр): плитки квадратной формы темно-коричн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евого цвета с геометрическим орнаментом, желтого цвета и темно–коричневого цвета. Покрытие из восьмигранных плиток желтого и красно-коричневого цвета, аналогичный бордюр. Интерьер углового двухсветного зала с балконом: декор балок перекрытия в виде профиль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ных штукатурных тяг и лепного декора геометрического орнамента; декоративное оформление потолка фигурными профильными филенками и круглыми профилированными розетками; широкий лепной междуэтажный пояс сложного цветочного рисунка, оформляющий периметр стен и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уровень балкона; широкое профилированное штукатурное обрамление арочных проемов парадной лестницы и ниш 2-го этажа (балкон), пр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офильное обрамление откосов оконных и дверных проемов. Балкон пластичной конфигурации со ступенчатой формой нижней части плиты и ограждением (исторический вид ограждения балкона устанавливается по результатам реставрационных исследований). Покрытие пола из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метлахской керамической плитки восьмигранной формы желтого цвета с вставками из квадратных плиток красно-коричневого цвета, по периметру – плитки квадратной формы: темно-коричневого цвета с геометрическим орнаментом (бордюр), желтого и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красно–коричневого цвета. Интерьер центральной парадной лестницы: профильные штукатурные тяги в оформлении потолка, фигурные ниши с элементами декора в стиле модерн (на лестничной площадке), покрытие пола междуэтажной площадки лестницы из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метлахской плитки серого цвета с светлым цветочным орнаментом.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11.2.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Интерьеры помещений 2-го этажа восточного крыла здания: профильные штукатурные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потолочно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-стенные тяги, профилированный декор плоскости потолка, крупные профилированные потолочные розетки, профильн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ое обрамление откосов оконных и дверных проемов, арок и ниш. Интерьер лестницы: профильные штукатурные тяги в отделке потолка помещения и нижней части лестничных маршей и площадок. Покрытие пола лестничных площадок из метлахской плитки (коврового типа): из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восьмигранной плитки желтого цвета с вставками из квадратных плиток темно-коричневого цвета, бордюр из двухцветной квадратной плитки с мозаичным цветочным орнаментом, квадратных и прямоугольных плиток желтого и коричневого цвета.  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11.3.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Интерьеры помещений 2-го этажа южного крыла здания. Декор помещений концертного зала: профильные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потолочно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-стенные тяги, круглые потолочные розетки с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лепным декором растительного орнамента, профильное обрамление откосов оконных проемов, широкий профилированный декор обрамления дверных проемов с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прямоугольным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сандриком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на фигурных кронштейнах (в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т.ч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. отдельных дверных проемов коридора и выхода на лестницу). Дополнительный декор зала: оформление потолка лепным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декором сложного рисунка с профильными тягами и выделением углов лепными розетками растительного орнамента, большая профилированная потолочная розетка с растительным декором, фигурные настенные филенки с розетками под бра, ниши с профильным обрамлением и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сандриком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на кронштейнах. Интерьеры комнат: все виды профильных штукатурных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потолочно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-стенных тяг, потолочных розеток и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профильный декор откосов оконных и дверных проемов. Интерьер лестницы: профильные штукатурные тяги в отделке потолка и нижней части лестничных маршей и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площадок, модерновый декор откосов прямоугольной арки 3-го этажа, профильный декор откосов оконных проемов.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11.4.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Интерьеры помещений 3-го этажа здания. Элементы декоративного оформления помещений угловой части: профильные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потолочно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-стенные тяги, все виды декора потолков (сложного рисунка с оформлением углов и се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редины боковых частей фигурными цветочными филенками, простого прямоугольного рисунка и с фигурной обработкой углов), все виды потолочных розеток и их декор, обрамление крупного полуциркульного остекленного проема входа в центральную комнату, выполненное в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модерновой стилистике, профильный декор откосов оконных проемов. Профильные шту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катурные тяги в оформлении кессонного потолка коридора угловой части здания. Потолок коридора третьего этажа боковых крыльев с квадратными остекленными отверстиями световых «фонарей». Элементы декоративного оформления комнат: все виды подлинных профильных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потолочно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-стенных тяг, профильное обрамление откосов оконных и дверных проемов. </w:t>
            </w:r>
            <w:r/>
          </w:p>
          <w:p>
            <w:pPr>
              <w:ind w:left="29" w:right="27"/>
              <w:jc w:val="both"/>
              <w:tabs>
                <w:tab w:val="left" w:pos="454" w:leader="none"/>
              </w:tabs>
              <w:rPr>
                <w:rFonts w:ascii="PT Astra Serif" w:hAnsi="PT Astra Serif"/>
                <w:bCs/>
                <w:sz w:val="24"/>
                <w:szCs w:val="24"/>
              </w:rPr>
              <w:outlineLvl w:val="0"/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12.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ab/>
              <w:t xml:space="preserve"> Ин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женерно-техническое оборудование здания на дату сохранившихся элементов. Система вентиляции и первоначального калориферного отопления (вентиляционные отверстия на внутренних стенах в верхней и нижней части стен). Металлические решетки из просечного железа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с крестообразным рисунком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.</w:t>
            </w:r>
            <w:r/>
          </w:p>
        </w:tc>
      </w:tr>
    </w:tbl>
    <w:p>
      <w:pPr>
        <w:jc w:val="both"/>
        <w:keepLines/>
        <w:keepNext/>
        <w:rPr>
          <w:rFonts w:ascii="PT Astra Serif" w:hAnsi="PT Astra Serif" w:eastAsia="PT Astra Serif"/>
          <w:sz w:val="24"/>
          <w:szCs w:val="24"/>
        </w:rPr>
      </w:pPr>
      <w:r>
        <w:rPr>
          <w:rFonts w:ascii="PT Astra Serif" w:hAnsi="PT Astra Serif" w:eastAsia="PT Astra Serif"/>
          <w:sz w:val="24"/>
          <w:szCs w:val="24"/>
        </w:rPr>
      </w:r>
      <w:r/>
    </w:p>
    <w:p>
      <w:pPr>
        <w:jc w:val="both"/>
        <w:keepLines/>
        <w:keepNext/>
        <w:rPr>
          <w:rFonts w:ascii="PT Astra Serif" w:hAnsi="PT Astra Serif" w:eastAsia="PT Astra Serif"/>
          <w:sz w:val="24"/>
          <w:szCs w:val="24"/>
        </w:rPr>
      </w:pPr>
      <w:r>
        <w:rPr>
          <w:rFonts w:ascii="PT Astra Serif" w:hAnsi="PT Astra Serif" w:eastAsia="PT Astra Serif"/>
          <w:sz w:val="24"/>
          <w:szCs w:val="24"/>
        </w:rPr>
        <w:t xml:space="preserve">9. Сведения о наличии зон охраны данно</w:t>
      </w:r>
      <w:r>
        <w:rPr>
          <w:rFonts w:ascii="PT Astra Serif" w:hAnsi="PT Astra Serif" w:eastAsia="PT Astra Serif"/>
          <w:sz w:val="24"/>
          <w:szCs w:val="24"/>
        </w:rPr>
        <w:t xml:space="preserve">го объекта культурного наследия с 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shd w:val="clear" w:fill="FFFF00" w:color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601"/>
        </w:trPr>
        <w:tc>
          <w:tcPr>
            <w:shd w:val="clear" w:fill="auto" w:color="auto"/>
            <w:tcBorders>
              <w:top w:val="single" w:color="000000" w:sz="4" w:space="0"/>
              <w:bottom w:val="single" w:color="000000" w:sz="4" w:space="0"/>
            </w:tcBorders>
            <w:tcW w:w="9384" w:type="dxa"/>
            <w:textDirection w:val="lrTb"/>
            <w:noWrap w:val="false"/>
          </w:tcPr>
          <w:p>
            <w:pPr>
              <w:ind w:left="109" w:right="147"/>
              <w:jc w:val="both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Охранная зона объект</w:t>
            </w: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ов</w:t>
            </w: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 культурного наследия </w:t>
            </w: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регионального значения </w:t>
            </w: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ОЗ</w:t>
            </w: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Р</w:t>
            </w: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1-18</w:t>
            </w: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 согласно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постановлению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Администрации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Томской области от 14.06.2012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№ 226а «Об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утверждении границ зон охраны объектов культурного наследия, расположенных на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территории г. Томска, режимов использования земель и градостроительных регламентов в границах данных зон охраны». </w:t>
            </w:r>
            <w:r/>
          </w:p>
        </w:tc>
      </w:tr>
    </w:tbl>
    <w:p>
      <w:pPr>
        <w:rPr>
          <w:rFonts w:ascii="PT Astra Serif" w:hAnsi="PT Astra Serif" w:eastAsia="PT Astra Serif"/>
          <w:sz w:val="24"/>
          <w:szCs w:val="24"/>
        </w:rPr>
      </w:pPr>
      <w:r>
        <w:rPr>
          <w:rFonts w:ascii="PT Astra Serif" w:hAnsi="PT Astra Serif" w:eastAsia="PT Astra Serif"/>
          <w:sz w:val="24"/>
          <w:szCs w:val="24"/>
        </w:rPr>
      </w:r>
      <w:r/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>
        <w:trPr>
          <w:trHeight w:val="624" w:hRule="exact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4564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Всего в паспорте листов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7</w:t>
            </w:r>
            <w:r/>
          </w:p>
        </w:tc>
      </w:tr>
    </w:tbl>
    <w:p>
      <w:pPr>
        <w:rPr>
          <w:rFonts w:ascii="PT Astra Serif" w:hAnsi="PT Astra Serif" w:eastAsia="PT Astra Serif"/>
          <w:sz w:val="24"/>
          <w:szCs w:val="24"/>
        </w:rPr>
      </w:pPr>
      <w:r>
        <w:rPr>
          <w:rFonts w:ascii="PT Astra Serif" w:hAnsi="PT Astra Serif" w:eastAsia="PT Astra Serif"/>
          <w:sz w:val="24"/>
          <w:szCs w:val="24"/>
        </w:rPr>
      </w:r>
      <w:r/>
    </w:p>
    <w:p>
      <w:pPr>
        <w:rPr>
          <w:rFonts w:ascii="PT Astra Serif" w:hAnsi="PT Astra Serif" w:eastAsia="PT Astra Serif"/>
          <w:sz w:val="24"/>
          <w:szCs w:val="24"/>
        </w:rPr>
      </w:pPr>
      <w:r>
        <w:rPr>
          <w:rFonts w:ascii="PT Astra Serif" w:hAnsi="PT Astra Serif" w:eastAsia="PT Astra Serif"/>
          <w:sz w:val="24"/>
          <w:szCs w:val="24"/>
        </w:rPr>
        <w:t xml:space="preserve">Уполномоченное должностное лицо органа охраны объектов культурного наследия</w:t>
      </w:r>
      <w:r/>
    </w:p>
    <w:p>
      <w:pPr>
        <w:rPr>
          <w:rFonts w:ascii="PT Astra Serif" w:hAnsi="PT Astra Serif" w:eastAsia="PT Astra Serif"/>
          <w:sz w:val="12"/>
          <w:szCs w:val="24"/>
        </w:rPr>
      </w:pPr>
      <w:r>
        <w:rPr>
          <w:rFonts w:ascii="PT Astra Serif" w:hAnsi="PT Astra Serif" w:eastAsia="PT Astra Serif"/>
          <w:sz w:val="12"/>
          <w:szCs w:val="24"/>
        </w:rPr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>
        <w:trPr>
          <w:trHeight w:val="454"/>
        </w:trPr>
        <w:tc>
          <w:tcPr>
            <w:tcW w:w="41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П</w:t>
            </w: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редседател</w:t>
            </w: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ь</w:t>
            </w: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 Комитета по охране объектов культурного наследия Томской области</w:t>
            </w:r>
            <w:r/>
          </w:p>
        </w:tc>
        <w:tc>
          <w:tcPr>
            <w:tcW w:w="21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</w:r>
            <w:r/>
          </w:p>
        </w:tc>
        <w:tc>
          <w:tcPr>
            <w:tcW w:w="31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</w:r>
            <w:r/>
          </w:p>
          <w:p>
            <w:pPr>
              <w:jc w:val="center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Е.В. Перетягина</w:t>
            </w: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 </w:t>
            </w:r>
            <w:r/>
          </w:p>
        </w:tc>
      </w:tr>
      <w:tr>
        <w:trPr/>
        <w:tc>
          <w:tcPr>
            <w:tcW w:w="41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должность</w:t>
            </w:r>
            <w:r/>
          </w:p>
        </w:tc>
        <w:tc>
          <w:tcPr>
            <w:tcW w:w="21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подпись</w:t>
            </w:r>
            <w:r/>
          </w:p>
        </w:tc>
        <w:tc>
          <w:tcPr>
            <w:tcW w:w="31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инициалы, фамилия</w:t>
            </w:r>
            <w:r/>
          </w:p>
        </w:tc>
      </w:tr>
    </w:tbl>
    <w:p>
      <w:pPr>
        <w:rPr>
          <w:rFonts w:ascii="PT Astra Serif" w:hAnsi="PT Astra Serif" w:eastAsia="PT Astra Serif"/>
          <w:sz w:val="24"/>
          <w:szCs w:val="24"/>
        </w:rPr>
      </w:pPr>
      <w:r>
        <w:rPr>
          <w:rFonts w:ascii="PT Astra Serif" w:hAnsi="PT Astra Serif" w:eastAsia="PT Astra Serif"/>
          <w:sz w:val="24"/>
          <w:szCs w:val="24"/>
        </w:rPr>
      </w:r>
      <w:r/>
    </w:p>
    <w:tbl>
      <w:tblPr>
        <w:tblStyle w:val="883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4785" w:type="dxa"/>
            <w:textDirection w:val="lrTb"/>
            <w:noWrap w:val="false"/>
          </w:tcPr>
          <w:p>
            <w:pPr>
              <w:rPr>
                <w:rFonts w:ascii="PT Astra Serif" w:hAnsi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</w:r>
            <w:r/>
          </w:p>
          <w:tbl>
            <w:tblPr>
              <w:tblW w:w="0" w:type="auto"/>
              <w:tblInd w:w="57" w:type="dxa"/>
              <w:tblBorders>
                <w:left w:val="single" w:color="000000" w:sz="4" w:space="0"/>
                <w:top w:val="single" w:color="000000" w:sz="4" w:space="0"/>
                <w:right w:val="single" w:color="000000" w:sz="4" w:space="0"/>
                <w:bottom w:val="single" w:color="000000" w:sz="4" w:space="0"/>
                <w:insideV w:val="single" w:color="000000" w:sz="4" w:space="0"/>
                <w:insideH w:val="single" w:color="000000" w:sz="4" w:space="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>
              <w:trPr>
                <w:trHeight w:val="425" w:hRule="exact"/>
              </w:trPr>
              <w:tc>
                <w:tcPr>
                  <w:shd w:val="clear" w:fill="auto" w:color="auto"/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</w:rPr>
                    <w:t xml:space="preserve">1</w:t>
                  </w:r>
                  <w:r/>
                </w:p>
              </w:tc>
              <w:tc>
                <w:tcPr>
                  <w:shd w:val="clear" w:fill="auto" w:color="auto"/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</w:rPr>
                    <w:t xml:space="preserve">5</w:t>
                  </w:r>
                  <w:r/>
                </w:p>
              </w:tc>
              <w:tc>
                <w:tcPr>
                  <w:shd w:val="clear" w:fill="auto" w:color="auto"/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  <w:szCs w:val="24"/>
                    </w:rPr>
                    <w:t xml:space="preserve">.</w:t>
                  </w:r>
                  <w:r/>
                </w:p>
              </w:tc>
              <w:tc>
                <w:tcPr>
                  <w:shd w:val="clear" w:fill="auto" w:color="auto"/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</w:rPr>
                    <w:t xml:space="preserve">1</w:t>
                  </w:r>
                  <w:r/>
                </w:p>
              </w:tc>
              <w:tc>
                <w:tcPr>
                  <w:shd w:val="clear" w:fill="auto" w:color="auto"/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</w:rPr>
                    <w:t xml:space="preserve">2</w:t>
                  </w:r>
                  <w:r/>
                </w:p>
              </w:tc>
              <w:tc>
                <w:tcPr>
                  <w:shd w:val="clear" w:fill="auto" w:color="auto"/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  <w:szCs w:val="24"/>
                    </w:rPr>
                    <w:t xml:space="preserve">.</w:t>
                  </w:r>
                  <w:r/>
                </w:p>
              </w:tc>
              <w:tc>
                <w:tcPr>
                  <w:shd w:val="clear" w:fill="auto" w:color="auto"/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  <w:szCs w:val="24"/>
                    </w:rPr>
                    <w:t xml:space="preserve">2</w:t>
                  </w:r>
                  <w:r/>
                </w:p>
              </w:tc>
              <w:tc>
                <w:tcPr>
                  <w:shd w:val="clear" w:fill="auto" w:color="auto"/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  <w:szCs w:val="24"/>
                    </w:rPr>
                    <w:t xml:space="preserve">0</w:t>
                  </w:r>
                  <w:r/>
                </w:p>
              </w:tc>
              <w:tc>
                <w:tcPr>
                  <w:shd w:val="clear" w:fill="auto" w:color="auto"/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  <w:szCs w:val="24"/>
                    </w:rPr>
                    <w:t xml:space="preserve">2</w:t>
                  </w:r>
                  <w:r/>
                </w:p>
              </w:tc>
              <w:tc>
                <w:tcPr>
                  <w:shd w:val="clear" w:fill="auto" w:color="auto"/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eastAsia="PT Astra Serif"/>
                    </w:rPr>
                  </w:pPr>
                  <w:r>
                    <w:rPr>
                      <w:rFonts w:ascii="PT Astra Serif" w:hAnsi="PT Astra Serif" w:eastAsia="PT Astra Serif"/>
                      <w:sz w:val="24"/>
                    </w:rPr>
                    <w:t xml:space="preserve">2</w:t>
                  </w:r>
                  <w:r/>
                </w:p>
              </w:tc>
            </w:tr>
          </w:tbl>
          <w:p>
            <w:pPr>
              <w:rPr>
                <w:rFonts w:ascii="PT Astra Serif" w:hAnsi="PT Astra Serif" w:eastAsia="PT Astra Serif"/>
              </w:rPr>
            </w:pPr>
            <w:r>
              <w:rPr>
                <w:rFonts w:ascii="PT Astra Serif" w:hAnsi="PT Astra Serif" w:eastAsia="PT Astra Serif"/>
                <w:sz w:val="24"/>
                <w:szCs w:val="24"/>
              </w:rPr>
              <w:t xml:space="preserve">Дата оформления паспорта</w:t>
            </w:r>
            <w:r>
              <w:rPr>
                <w:rFonts w:ascii="PT Astra Serif" w:hAnsi="PT Astra Serif" w:eastAsia="PT Astra Serif"/>
                <w:sz w:val="24"/>
                <w:szCs w:val="24"/>
              </w:rPr>
              <w:br/>
              <w:t xml:space="preserve">(число, месяц, год)</w:t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4785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i/>
          <w:iCs/>
          <w:sz w:val="24"/>
          <w:szCs w:val="24"/>
        </w:rPr>
      </w:pPr>
      <w:r>
        <w:rPr>
          <w:rFonts w:ascii="PT Astra Serif" w:hAnsi="PT Astra Serif" w:cs="PT Astra Serif" w:eastAsia="PT Astra Serif"/>
          <w:i/>
          <w:iCs/>
          <w:sz w:val="24"/>
          <w:szCs w:val="24"/>
        </w:rPr>
      </w:r>
      <w:r/>
    </w:p>
    <w:sectPr>
      <w:headerReference w:type="default" r:id="rId13"/>
      <w:footnotePr/>
      <w:endnotePr/>
      <w:type w:val="nextPage"/>
      <w:pgSz w:w="11906" w:h="16838" w:orient="portrait"/>
      <w:pgMar w:top="1134" w:right="851" w:bottom="993" w:left="1701" w:header="397" w:footer="397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409020205020404"/>
  </w:font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1"/>
      <w:ind w:left="-567"/>
      <w:rPr>
        <w:sz w:val="18"/>
      </w:rPr>
    </w:pP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1010"/>
        <w:jc w:val="both"/>
        <w:rPr>
          <w:rFonts w:ascii="PT Astra Serif" w:hAnsi="PT Astra Serif" w:cs="PT Astra Serif" w:eastAsia="PT Astra Serif"/>
          <w:sz w:val="20"/>
        </w:rPr>
      </w:pPr>
      <w:r>
        <w:rPr>
          <w:rStyle w:val="1012"/>
        </w:rPr>
        <w:footnoteRef/>
      </w:r>
      <w:r>
        <w:t xml:space="preserve"> </w:t>
      </w:r>
      <w:r>
        <w:rPr>
          <w:rFonts w:ascii="PT Astra Serif" w:hAnsi="PT Astra Serif" w:cs="PT Astra Serif" w:eastAsia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hAnsi="PT Astra Serif" w:cs="PT Astra Serif" w:eastAsia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hAnsi="PT Astra Serif" w:cs="PT Astra Serif" w:eastAsia="PT Astra Serif"/>
          <w:sz w:val="20"/>
        </w:rPr>
        <w:br/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hAnsi="PT Astra Serif" w:cs="PT Astra Serif" w:eastAsia="PT Astra Serif"/>
          <w:sz w:val="20"/>
        </w:rPr>
        <w:br/>
        <w:t xml:space="preserve">№ 73-ФЗ, он является неотъемлемой частью охранного обязательства.</w:t>
      </w:r>
      <w:r/>
    </w:p>
  </w:footnote>
  <w:footnote w:id="3">
    <w:p>
      <w:pPr>
        <w:pStyle w:val="1010"/>
        <w:jc w:val="both"/>
      </w:pPr>
      <w:r>
        <w:rPr>
          <w:rStyle w:val="1012"/>
        </w:rPr>
        <w:footnoteRef/>
      </w:r>
      <w:r>
        <w:t xml:space="preserve"> Указываются реквизиты акта технического состояния, а также документов, содержащих мнение собственника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</w:t>
      </w:r>
      <w:r>
        <w:t xml:space="preserve">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  <w:r/>
    </w:p>
  </w:footnote>
  <w:footnote w:id="4">
    <w:p>
      <w:pPr>
        <w:pStyle w:val="1010"/>
      </w:pPr>
      <w:r>
        <w:rPr>
          <w:rStyle w:val="1012"/>
        </w:rPr>
        <w:footnoteRef/>
      </w:r>
      <w:r>
        <w:t xml:space="preserve"> З</w:t>
      </w:r>
      <w:r>
        <w:t xml:space="preserve">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  <w:r/>
    </w:p>
  </w:footnote>
  <w:footnote w:id="5">
    <w:p>
      <w:pPr>
        <w:pStyle w:val="1010"/>
      </w:pPr>
      <w:r>
        <w:rPr>
          <w:rStyle w:val="1012"/>
        </w:rPr>
        <w:footnoteRef/>
      </w:r>
      <w: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  <w:r/>
    </w:p>
  </w:footnote>
  <w:footnote w:id="6">
    <w:p>
      <w:pPr>
        <w:pStyle w:val="1010"/>
      </w:pPr>
      <w:r>
        <w:rPr>
          <w:rStyle w:val="1012"/>
        </w:rPr>
        <w:footnoteRef/>
      </w:r>
      <w:r>
        <w:t xml:space="preserve"> Заполняется в отношении объекта культурного наследия религиозного назначения по согласованию с собственником или иным законным владельцем такого объекта культурного наследия.</w:t>
      </w:r>
      <w:r/>
    </w:p>
  </w:footnote>
  <w:footnote w:id="7">
    <w:p>
      <w:pPr>
        <w:pStyle w:val="1010"/>
      </w:pPr>
      <w:r>
        <w:rPr>
          <w:rStyle w:val="1012"/>
        </w:rPr>
        <w:footnoteRef/>
      </w:r>
      <w:r>
        <w:t xml:space="preserve"> Указываются реквизиты документов, содержащих мнение собственника либо иного законного владельца объекта культурного наследия религиозного назначения и иные сведения, предусмотренные разделом V Порядка подготовки и утверждения охранного </w:t>
      </w:r>
      <w:r>
        <w:t xml:space="preserve">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9"/>
      <w:rPr>
        <w:rStyle w:val="1024"/>
        <w:b w:val="false"/>
        <w:sz w:val="24"/>
      </w:rPr>
      <w:framePr w:w="170" w:wrap="around" w:vAnchor="text" w:hAnchor="margin" w:xAlign="center" w:y="1"/>
    </w:pPr>
    <w:r>
      <w:rPr>
        <w:rStyle w:val="1024"/>
        <w:b w:val="false"/>
        <w:sz w:val="24"/>
      </w:rPr>
    </w:r>
    <w:r>
      <w:rPr>
        <w:rStyle w:val="1024"/>
        <w:sz w:val="24"/>
      </w:rPr>
      <w:fldChar w:fldCharType="begin"/>
    </w:r>
    <w:r>
      <w:rPr>
        <w:rStyle w:val="1024"/>
        <w:sz w:val="24"/>
      </w:rPr>
      <w:instrText xml:space="preserve">PAGE  </w:instrText>
    </w:r>
    <w:r>
      <w:rPr>
        <w:rStyle w:val="1024"/>
        <w:b w:val="false"/>
        <w:sz w:val="24"/>
      </w:rPr>
      <w:fldChar w:fldCharType="separate"/>
    </w:r>
    <w:r>
      <w:rPr>
        <w:rStyle w:val="1024"/>
        <w:sz w:val="24"/>
      </w:rPr>
      <w:t xml:space="preserve">7</w:t>
    </w:r>
    <w:r>
      <w:rPr>
        <w:rStyle w:val="1024"/>
        <w:b w:val="false"/>
        <w:sz w:val="24"/>
      </w:rPr>
      <w:fldChar w:fldCharType="end"/>
    </w:r>
    <w:r/>
  </w:p>
  <w:p>
    <w:pPr>
      <w:pStyle w:val="879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9"/>
      <w:rPr>
        <w:rStyle w:val="1024"/>
      </w:rPr>
      <w:framePr w:wrap="around" w:vAnchor="text" w:hAnchor="margin" w:xAlign="center" w:y="1"/>
    </w:pPr>
    <w:r>
      <w:rPr>
        <w:rStyle w:val="1024"/>
      </w:rPr>
      <w:fldChar w:fldCharType="begin"/>
    </w:r>
    <w:r>
      <w:rPr>
        <w:rStyle w:val="1024"/>
      </w:rPr>
      <w:instrText xml:space="preserve">PAGE  </w:instrText>
    </w:r>
    <w:r>
      <w:rPr>
        <w:rStyle w:val="1024"/>
      </w:rPr>
      <w:fldChar w:fldCharType="end"/>
    </w:r>
    <w:r/>
  </w:p>
  <w:p>
    <w:pPr>
      <w:pStyle w:val="879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/>
        <w:b/>
        <w:lang w:val="en-US"/>
      </w:rPr>
    </w:pPr>
    <w:r>
      <w:rPr>
        <w:rFonts w:ascii="PT Astra Serif" w:hAnsi="PT Astra Serif"/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Рисунок 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7pt;height:51.6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879"/>
      <w:spacing w:lineRule="exact" w:line="360" w:after="0" w:before="0"/>
      <w:rPr>
        <w:rFonts w:ascii="PT Astra Serif" w:hAnsi="PT Astra Serif"/>
        <w:sz w:val="30"/>
        <w:szCs w:val="30"/>
        <w:lang w:val="ru-RU"/>
      </w:rPr>
    </w:pPr>
    <w:r>
      <w:rPr>
        <w:rFonts w:ascii="PT Astra Serif" w:hAnsi="PT Astra Serif"/>
        <w:sz w:val="30"/>
        <w:szCs w:val="30"/>
        <w:lang w:val="ru-RU"/>
      </w:rPr>
      <w:t xml:space="preserve">КОМИТЕТ ПО ОХРАНЕ ОБЪЕКТОВ КУЛЬТУРНОГО НАСЛЕДИЯ ТОМСКОЙ ОБЛАСТИ</w:t>
    </w:r>
    <w:r/>
  </w:p>
  <w:p>
    <w:pPr>
      <w:pStyle w:val="879"/>
      <w:spacing w:lineRule="exact" w:line="360" w:after="0" w:before="0"/>
      <w:rPr>
        <w:rFonts w:ascii="PT Astra Serif" w:hAnsi="PT Astra Serif"/>
        <w:sz w:val="30"/>
        <w:szCs w:val="30"/>
        <w:lang w:val="ru-RU"/>
      </w:rPr>
    </w:pPr>
    <w:r>
      <w:rPr>
        <w:rFonts w:ascii="PT Astra Serif" w:hAnsi="PT Astra Serif"/>
        <w:sz w:val="30"/>
        <w:szCs w:val="30"/>
        <w:lang w:val="ru-RU"/>
      </w:rPr>
    </w:r>
    <w:r/>
  </w:p>
  <w:p>
    <w:pPr>
      <w:pStyle w:val="879"/>
      <w:spacing w:lineRule="exact" w:line="360" w:after="0" w:before="0"/>
      <w:rPr>
        <w:rFonts w:ascii="PT Astra Serif" w:hAnsi="PT Astra Serif"/>
        <w:sz w:val="28"/>
        <w:szCs w:val="28"/>
        <w:lang w:val="ru-RU"/>
      </w:rPr>
    </w:pPr>
    <w:r>
      <w:rPr>
        <w:rFonts w:ascii="PT Astra Serif" w:hAnsi="PT Astra Serif"/>
        <w:sz w:val="28"/>
        <w:szCs w:val="28"/>
        <w:lang w:val="ru-RU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9"/>
      <w:rPr>
        <w:lang w:val="ru-RU"/>
      </w:rPr>
    </w:pPr>
    <w:r>
      <w:rPr>
        <w:lang w:val="ru-RU"/>
      </w:rPr>
    </w:r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9"/>
      <w:rPr>
        <w:b w:val="false"/>
        <w:sz w:val="24"/>
        <w:szCs w:val="24"/>
      </w:rPr>
    </w:pPr>
    <w:r>
      <w:rPr>
        <w:b w:val="false"/>
        <w:sz w:val="24"/>
        <w:szCs w:val="24"/>
      </w:rPr>
      <w:fldChar w:fldCharType="begin"/>
    </w:r>
    <w:r>
      <w:rPr>
        <w:b w:val="false"/>
        <w:sz w:val="24"/>
        <w:szCs w:val="24"/>
      </w:rPr>
      <w:instrText xml:space="preserve">PAGE   \* MERGEFORMAT</w:instrText>
    </w:r>
    <w:r>
      <w:rPr>
        <w:rFonts w:ascii="PT Astra Serif" w:hAnsi="PT Astra Serif" w:cs="PT Astra Serif" w:eastAsia="PT Astra Serif"/>
        <w:b w:val="false"/>
        <w:sz w:val="24"/>
        <w:szCs w:val="24"/>
      </w:rPr>
      <w:fldChar w:fldCharType="separate"/>
    </w:r>
    <w:r>
      <w:rPr>
        <w:rFonts w:ascii="PT Astra Serif" w:hAnsi="PT Astra Serif" w:cs="PT Astra Serif" w:eastAsia="PT Astra Serif"/>
        <w:b w:val="false"/>
        <w:sz w:val="24"/>
        <w:szCs w:val="24"/>
      </w:rPr>
      <w:t xml:space="preserve">15</w:t>
    </w:r>
    <w:r>
      <w:rPr>
        <w:rFonts w:ascii="PT Astra Serif" w:hAnsi="PT Astra Serif" w:cs="PT Astra Serif" w:eastAsia="PT Astra Serif"/>
        <w:b w:val="false"/>
        <w:sz w:val="24"/>
        <w:szCs w:val="24"/>
      </w:rPr>
      <w:fldChar w:fldCharType="end"/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800"/>
      </w:pPr>
      <w:rPr>
        <w:b w:val="false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7" w:hanging="825"/>
        <w:tabs>
          <w:tab w:val="num" w:pos="967" w:leader="none"/>
        </w:tabs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3.%2"/>
      <w:lvlJc w:val="left"/>
      <w:pPr>
        <w:ind w:left="927" w:hanging="360"/>
        <w:tabs>
          <w:tab w:val="num" w:pos="927" w:leader="none"/>
        </w:tabs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  <w:tabs>
          <w:tab w:val="num" w:pos="1854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  <w:tabs>
          <w:tab w:val="num" w:pos="2421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  <w:tabs>
          <w:tab w:val="num" w:pos="3348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  <w:tabs>
          <w:tab w:val="num" w:pos="3915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  <w:tabs>
          <w:tab w:val="num" w:pos="4842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  <w:tabs>
          <w:tab w:val="num" w:pos="5409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336" w:hanging="1800"/>
        <w:tabs>
          <w:tab w:val="num" w:pos="6336" w:leader="none"/>
        </w:tabs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4.%2."/>
      <w:lvlJc w:val="left"/>
      <w:pPr>
        <w:ind w:left="927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9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2.%2."/>
      <w:lvlJc w:val="left"/>
      <w:pPr>
        <w:ind w:left="1440" w:hanging="360"/>
        <w:tabs>
          <w:tab w:val="num" w:pos="1440" w:leader="none"/>
        </w:tabs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2880" w:hanging="720"/>
        <w:tabs>
          <w:tab w:val="num" w:pos="288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3960" w:hanging="720"/>
        <w:tabs>
          <w:tab w:val="num" w:pos="396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400" w:hanging="1080"/>
        <w:tabs>
          <w:tab w:val="num" w:pos="540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480" w:hanging="1080"/>
        <w:tabs>
          <w:tab w:val="num" w:pos="64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7920" w:hanging="1440"/>
        <w:tabs>
          <w:tab w:val="num" w:pos="792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000" w:hanging="1440"/>
        <w:tabs>
          <w:tab w:val="num" w:pos="900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0440" w:hanging="1800"/>
        <w:tabs>
          <w:tab w:val="num" w:pos="10440" w:leader="none"/>
        </w:tabs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7"/>
  </w:num>
  <w:num w:numId="4">
    <w:abstractNumId w:val="5"/>
  </w:num>
  <w:num w:numId="5">
    <w:abstractNumId w:val="8"/>
  </w:num>
  <w:num w:numId="6">
    <w:abstractNumId w:val="3"/>
  </w:num>
  <w:num w:numId="7">
    <w:abstractNumId w:val="9"/>
  </w:num>
  <w:num w:numId="8">
    <w:abstractNumId w:val="6"/>
  </w:num>
  <w:num w:numId="9">
    <w:abstractNumId w:val="4"/>
  </w:num>
  <w:num w:numId="10">
    <w:abstractNumId w:val="2"/>
  </w:num>
  <w:num w:numId="11">
    <w:abstractNumId w:val="1"/>
  </w:num>
  <w:num w:numId="12">
    <w:abstractNumId w:val="11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en-US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27" w:default="1">
    <w:name w:val="Normal"/>
    <w:qFormat/>
  </w:style>
  <w:style w:type="paragraph" w:styleId="828">
    <w:name w:val="Heading 1"/>
    <w:basedOn w:val="827"/>
    <w:next w:val="827"/>
    <w:link w:val="1043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829">
    <w:name w:val="Heading 2"/>
    <w:basedOn w:val="827"/>
    <w:next w:val="827"/>
    <w:link w:val="1041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830">
    <w:name w:val="Heading 3"/>
    <w:link w:val="862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831">
    <w:name w:val="Heading 4"/>
    <w:link w:val="863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832">
    <w:name w:val="Heading 5"/>
    <w:link w:val="864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833">
    <w:name w:val="Heading 6"/>
    <w:link w:val="865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after="200" w:before="320"/>
      <w:outlineLvl w:val="5"/>
    </w:pPr>
  </w:style>
  <w:style w:type="paragraph" w:styleId="834">
    <w:name w:val="Heading 7"/>
    <w:link w:val="866"/>
    <w:qFormat/>
    <w:uiPriority w:val="9"/>
    <w:unhideWhenUsed/>
    <w:rPr>
      <w:rFonts w:ascii="Arial" w:hAnsi="Arial" w:cs="Arial" w:eastAsia="Arial"/>
      <w:b/>
      <w:bCs/>
      <w:i/>
      <w:iCs/>
    </w:rPr>
    <w:pPr>
      <w:keepLines/>
      <w:keepNext/>
      <w:spacing w:after="200" w:before="320"/>
      <w:outlineLvl w:val="6"/>
    </w:pPr>
  </w:style>
  <w:style w:type="paragraph" w:styleId="835">
    <w:name w:val="Heading 8"/>
    <w:link w:val="867"/>
    <w:qFormat/>
    <w:uiPriority w:val="9"/>
    <w:unhideWhenUsed/>
    <w:rPr>
      <w:rFonts w:ascii="Arial" w:hAnsi="Arial" w:cs="Arial" w:eastAsia="Arial"/>
      <w:i/>
      <w:iCs/>
    </w:rPr>
    <w:pPr>
      <w:keepLines/>
      <w:keepNext/>
      <w:spacing w:after="200" w:before="320"/>
      <w:outlineLvl w:val="7"/>
    </w:pPr>
  </w:style>
  <w:style w:type="paragraph" w:styleId="836">
    <w:name w:val="Heading 9"/>
    <w:link w:val="86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837" w:default="1">
    <w:name w:val="Default Paragraph Font"/>
    <w:uiPriority w:val="1"/>
    <w:semiHidden/>
    <w:unhideWhenUsed/>
  </w:style>
  <w:style w:type="table" w:styleId="83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9" w:default="1">
    <w:name w:val="No List"/>
    <w:uiPriority w:val="99"/>
    <w:semiHidden/>
    <w:unhideWhenUsed/>
  </w:style>
  <w:style w:type="character" w:styleId="840" w:customStyle="1">
    <w:name w:val="Heading 3 Char"/>
    <w:basedOn w:val="837"/>
    <w:uiPriority w:val="9"/>
    <w:rPr>
      <w:rFonts w:ascii="Arial" w:hAnsi="Arial" w:cs="Arial" w:eastAsia="Arial"/>
      <w:sz w:val="30"/>
      <w:szCs w:val="30"/>
    </w:rPr>
  </w:style>
  <w:style w:type="character" w:styleId="841" w:customStyle="1">
    <w:name w:val="Heading 4 Char"/>
    <w:basedOn w:val="837"/>
    <w:uiPriority w:val="9"/>
    <w:rPr>
      <w:rFonts w:ascii="Arial" w:hAnsi="Arial" w:cs="Arial" w:eastAsia="Arial"/>
      <w:b/>
      <w:bCs/>
      <w:sz w:val="26"/>
      <w:szCs w:val="26"/>
    </w:rPr>
  </w:style>
  <w:style w:type="character" w:styleId="842" w:customStyle="1">
    <w:name w:val="Heading 5 Char"/>
    <w:basedOn w:val="837"/>
    <w:uiPriority w:val="9"/>
    <w:rPr>
      <w:rFonts w:ascii="Arial" w:hAnsi="Arial" w:cs="Arial" w:eastAsia="Arial"/>
      <w:b/>
      <w:bCs/>
      <w:sz w:val="24"/>
      <w:szCs w:val="24"/>
    </w:rPr>
  </w:style>
  <w:style w:type="character" w:styleId="843" w:customStyle="1">
    <w:name w:val="Heading 6 Char"/>
    <w:basedOn w:val="837"/>
    <w:uiPriority w:val="9"/>
    <w:rPr>
      <w:rFonts w:ascii="Arial" w:hAnsi="Arial" w:cs="Arial" w:eastAsia="Arial"/>
      <w:b/>
      <w:bCs/>
      <w:sz w:val="22"/>
      <w:szCs w:val="22"/>
    </w:rPr>
  </w:style>
  <w:style w:type="character" w:styleId="844" w:customStyle="1">
    <w:name w:val="Heading 7 Char"/>
    <w:basedOn w:val="837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845" w:customStyle="1">
    <w:name w:val="Heading 8 Char"/>
    <w:basedOn w:val="837"/>
    <w:uiPriority w:val="9"/>
    <w:rPr>
      <w:rFonts w:ascii="Arial" w:hAnsi="Arial" w:cs="Arial" w:eastAsia="Arial"/>
      <w:i/>
      <w:iCs/>
      <w:sz w:val="22"/>
      <w:szCs w:val="22"/>
    </w:rPr>
  </w:style>
  <w:style w:type="character" w:styleId="846" w:customStyle="1">
    <w:name w:val="Heading 9 Char"/>
    <w:basedOn w:val="837"/>
    <w:uiPriority w:val="9"/>
    <w:rPr>
      <w:rFonts w:ascii="Arial" w:hAnsi="Arial" w:cs="Arial" w:eastAsia="Arial"/>
      <w:i/>
      <w:iCs/>
      <w:sz w:val="21"/>
      <w:szCs w:val="21"/>
    </w:rPr>
  </w:style>
  <w:style w:type="character" w:styleId="847" w:customStyle="1">
    <w:name w:val="Title Char"/>
    <w:basedOn w:val="837"/>
    <w:uiPriority w:val="10"/>
    <w:rPr>
      <w:sz w:val="48"/>
      <w:szCs w:val="48"/>
    </w:rPr>
  </w:style>
  <w:style w:type="character" w:styleId="848" w:customStyle="1">
    <w:name w:val="Subtitle Char"/>
    <w:basedOn w:val="837"/>
    <w:uiPriority w:val="11"/>
    <w:rPr>
      <w:sz w:val="24"/>
      <w:szCs w:val="24"/>
    </w:rPr>
  </w:style>
  <w:style w:type="character" w:styleId="849" w:customStyle="1">
    <w:name w:val="Quote Char"/>
    <w:uiPriority w:val="29"/>
    <w:rPr>
      <w:i/>
    </w:rPr>
  </w:style>
  <w:style w:type="character" w:styleId="850" w:customStyle="1">
    <w:name w:val="Intense Quote Char"/>
    <w:uiPriority w:val="30"/>
    <w:rPr>
      <w:i/>
    </w:rPr>
  </w:style>
  <w:style w:type="character" w:styleId="851" w:customStyle="1">
    <w:name w:val="Footer Char"/>
    <w:basedOn w:val="837"/>
    <w:uiPriority w:val="99"/>
  </w:style>
  <w:style w:type="character" w:styleId="852" w:customStyle="1">
    <w:name w:val="Footnote Text Char"/>
    <w:uiPriority w:val="99"/>
    <w:rPr>
      <w:sz w:val="18"/>
    </w:rPr>
  </w:style>
  <w:style w:type="character" w:styleId="853" w:customStyle="1">
    <w:name w:val="Endnote Text Char"/>
    <w:uiPriority w:val="99"/>
    <w:rPr>
      <w:sz w:val="20"/>
    </w:rPr>
  </w:style>
  <w:style w:type="paragraph" w:styleId="854">
    <w:name w:val="Caption"/>
    <w:basedOn w:val="827"/>
    <w:next w:val="827"/>
    <w:rPr>
      <w:b/>
      <w:sz w:val="28"/>
    </w:rPr>
    <w:pPr>
      <w:jc w:val="center"/>
    </w:pPr>
  </w:style>
  <w:style w:type="character" w:styleId="855" w:customStyle="1">
    <w:name w:val="Caption Char"/>
    <w:uiPriority w:val="99"/>
  </w:style>
  <w:style w:type="paragraph" w:styleId="856">
    <w:name w:val="endnote text"/>
    <w:basedOn w:val="827"/>
    <w:link w:val="857"/>
    <w:uiPriority w:val="99"/>
    <w:semiHidden/>
    <w:unhideWhenUsed/>
    <w:rPr>
      <w:sz w:val="20"/>
    </w:rPr>
  </w:style>
  <w:style w:type="character" w:styleId="857" w:customStyle="1">
    <w:name w:val="Текст концевой сноски Знак"/>
    <w:link w:val="856"/>
    <w:uiPriority w:val="99"/>
    <w:rPr>
      <w:sz w:val="20"/>
    </w:rPr>
  </w:style>
  <w:style w:type="character" w:styleId="858">
    <w:name w:val="endnote reference"/>
    <w:basedOn w:val="837"/>
    <w:uiPriority w:val="99"/>
    <w:semiHidden/>
    <w:unhideWhenUsed/>
    <w:rPr>
      <w:vertAlign w:val="superscript"/>
    </w:rPr>
  </w:style>
  <w:style w:type="paragraph" w:styleId="859">
    <w:name w:val="table of figures"/>
    <w:basedOn w:val="827"/>
    <w:next w:val="827"/>
    <w:uiPriority w:val="99"/>
    <w:unhideWhenUsed/>
  </w:style>
  <w:style w:type="character" w:styleId="860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861" w:customStyle="1">
    <w:name w:val="Heading 2 Char"/>
    <w:uiPriority w:val="9"/>
    <w:rPr>
      <w:rFonts w:ascii="Arial" w:hAnsi="Arial" w:cs="Arial" w:eastAsia="Arial"/>
      <w:sz w:val="34"/>
    </w:rPr>
  </w:style>
  <w:style w:type="character" w:styleId="862" w:customStyle="1">
    <w:name w:val="Заголовок 3 Знак"/>
    <w:link w:val="830"/>
    <w:uiPriority w:val="9"/>
    <w:rPr>
      <w:rFonts w:ascii="Arial" w:hAnsi="Arial" w:cs="Arial" w:eastAsia="Arial"/>
      <w:sz w:val="30"/>
      <w:szCs w:val="30"/>
    </w:rPr>
  </w:style>
  <w:style w:type="character" w:styleId="863" w:customStyle="1">
    <w:name w:val="Заголовок 4 Знак"/>
    <w:link w:val="831"/>
    <w:uiPriority w:val="9"/>
    <w:rPr>
      <w:rFonts w:ascii="Arial" w:hAnsi="Arial" w:cs="Arial" w:eastAsia="Arial"/>
      <w:b/>
      <w:bCs/>
      <w:sz w:val="26"/>
      <w:szCs w:val="26"/>
    </w:rPr>
  </w:style>
  <w:style w:type="character" w:styleId="864" w:customStyle="1">
    <w:name w:val="Заголовок 5 Знак"/>
    <w:link w:val="832"/>
    <w:uiPriority w:val="9"/>
    <w:rPr>
      <w:rFonts w:ascii="Arial" w:hAnsi="Arial" w:cs="Arial" w:eastAsia="Arial"/>
      <w:b/>
      <w:bCs/>
      <w:sz w:val="24"/>
      <w:szCs w:val="24"/>
    </w:rPr>
  </w:style>
  <w:style w:type="character" w:styleId="865" w:customStyle="1">
    <w:name w:val="Заголовок 6 Знак"/>
    <w:link w:val="833"/>
    <w:uiPriority w:val="9"/>
    <w:rPr>
      <w:rFonts w:ascii="Arial" w:hAnsi="Arial" w:cs="Arial" w:eastAsia="Arial"/>
      <w:b/>
      <w:bCs/>
      <w:sz w:val="22"/>
      <w:szCs w:val="22"/>
    </w:rPr>
  </w:style>
  <w:style w:type="character" w:styleId="866" w:customStyle="1">
    <w:name w:val="Заголовок 7 Знак"/>
    <w:link w:val="834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867" w:customStyle="1">
    <w:name w:val="Заголовок 8 Знак"/>
    <w:link w:val="835"/>
    <w:uiPriority w:val="9"/>
    <w:rPr>
      <w:rFonts w:ascii="Arial" w:hAnsi="Arial" w:cs="Arial" w:eastAsia="Arial"/>
      <w:i/>
      <w:iCs/>
      <w:sz w:val="22"/>
      <w:szCs w:val="22"/>
    </w:rPr>
  </w:style>
  <w:style w:type="character" w:styleId="868" w:customStyle="1">
    <w:name w:val="Заголовок 9 Знак"/>
    <w:link w:val="836"/>
    <w:uiPriority w:val="9"/>
    <w:rPr>
      <w:rFonts w:ascii="Arial" w:hAnsi="Arial" w:cs="Arial" w:eastAsia="Arial"/>
      <w:i/>
      <w:iCs/>
      <w:sz w:val="21"/>
      <w:szCs w:val="21"/>
    </w:rPr>
  </w:style>
  <w:style w:type="paragraph" w:styleId="869">
    <w:name w:val="List Paragraph"/>
    <w:basedOn w:val="827"/>
    <w:rPr>
      <w:sz w:val="20"/>
    </w:rPr>
    <w:pPr>
      <w:contextualSpacing w:val="true"/>
      <w:ind w:left="720"/>
    </w:pPr>
  </w:style>
  <w:style w:type="paragraph" w:styleId="870">
    <w:name w:val="No Spacing"/>
    <w:rPr>
      <w:sz w:val="26"/>
      <w:lang w:bidi="ar-SA" w:eastAsia="ru-RU"/>
    </w:rPr>
    <w:pPr>
      <w:ind w:firstLine="709"/>
    </w:pPr>
  </w:style>
  <w:style w:type="paragraph" w:styleId="871">
    <w:name w:val="Title"/>
    <w:link w:val="872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872" w:customStyle="1">
    <w:name w:val="Название Знак"/>
    <w:link w:val="871"/>
    <w:uiPriority w:val="10"/>
    <w:rPr>
      <w:sz w:val="48"/>
      <w:szCs w:val="48"/>
    </w:rPr>
  </w:style>
  <w:style w:type="paragraph" w:styleId="873">
    <w:name w:val="Subtitle"/>
    <w:link w:val="874"/>
    <w:qFormat/>
    <w:uiPriority w:val="11"/>
    <w:rPr>
      <w:sz w:val="24"/>
      <w:szCs w:val="24"/>
    </w:rPr>
    <w:pPr>
      <w:spacing w:after="200" w:before="200"/>
    </w:pPr>
  </w:style>
  <w:style w:type="character" w:styleId="874" w:customStyle="1">
    <w:name w:val="Подзаголовок Знак"/>
    <w:link w:val="873"/>
    <w:uiPriority w:val="11"/>
    <w:rPr>
      <w:sz w:val="24"/>
      <w:szCs w:val="24"/>
    </w:rPr>
  </w:style>
  <w:style w:type="paragraph" w:styleId="875">
    <w:name w:val="Quote"/>
    <w:link w:val="876"/>
    <w:qFormat/>
    <w:uiPriority w:val="29"/>
    <w:rPr>
      <w:i/>
    </w:rPr>
    <w:pPr>
      <w:ind w:left="720" w:right="720"/>
    </w:pPr>
  </w:style>
  <w:style w:type="character" w:styleId="876" w:customStyle="1">
    <w:name w:val="Цитата 2 Знак"/>
    <w:link w:val="875"/>
    <w:uiPriority w:val="29"/>
    <w:rPr>
      <w:i/>
    </w:rPr>
  </w:style>
  <w:style w:type="paragraph" w:styleId="877">
    <w:name w:val="Intense Quote"/>
    <w:link w:val="878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878" w:customStyle="1">
    <w:name w:val="Выделенная цитата Знак"/>
    <w:link w:val="877"/>
    <w:uiPriority w:val="30"/>
    <w:rPr>
      <w:i/>
    </w:rPr>
  </w:style>
  <w:style w:type="paragraph" w:styleId="879">
    <w:name w:val="Header"/>
    <w:basedOn w:val="827"/>
    <w:link w:val="1045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880" w:customStyle="1">
    <w:name w:val="Header Char"/>
    <w:uiPriority w:val="99"/>
  </w:style>
  <w:style w:type="paragraph" w:styleId="881">
    <w:name w:val="Footer"/>
    <w:basedOn w:val="827"/>
    <w:link w:val="882"/>
    <w:pPr>
      <w:tabs>
        <w:tab w:val="center" w:pos="4153" w:leader="none"/>
        <w:tab w:val="right" w:pos="8306" w:leader="none"/>
      </w:tabs>
    </w:pPr>
  </w:style>
  <w:style w:type="character" w:styleId="882" w:customStyle="1">
    <w:name w:val="Нижний колонтитул Знак"/>
    <w:link w:val="881"/>
    <w:uiPriority w:val="99"/>
  </w:style>
  <w:style w:type="table" w:styleId="883">
    <w:name w:val="Table Grid"/>
    <w:basedOn w:val="838"/>
    <w:tblPr/>
  </w:style>
  <w:style w:type="table" w:styleId="884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85">
    <w:name w:val="Plain Table 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6">
    <w:name w:val="Plain Table 2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7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88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890">
    <w:name w:val="Grid Table 1 Light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>
    <w:name w:val="Grid Table 2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898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899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900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901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902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903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904">
    <w:name w:val="Grid Table 3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05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06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07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08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09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10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11">
    <w:name w:val="Grid Table 4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912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913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914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915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916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917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918">
    <w:name w:val="Grid Table 5 Dark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19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20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21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22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23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24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25">
    <w:name w:val="Grid Table 6 Colorful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26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927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928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929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930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31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32">
    <w:name w:val="Grid Table 7 Colorful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933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934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935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936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937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938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939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940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941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942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943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944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945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946">
    <w:name w:val="List Table 2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947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948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949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950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951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952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953">
    <w:name w:val="List Table 3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4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5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6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7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8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9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0">
    <w:name w:val="List Table 4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1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2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3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4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5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6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7">
    <w:name w:val="List Table 5 Dark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8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9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0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1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2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3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4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975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976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977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978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979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980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98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982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983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984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985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986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987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988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89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0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1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2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3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4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5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6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7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8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9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1000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1001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1002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003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004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005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006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007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008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009">
    <w:name w:val="Hyperlink"/>
    <w:rPr>
      <w:color w:val="0000FF"/>
      <w:u w:val="single"/>
    </w:rPr>
  </w:style>
  <w:style w:type="paragraph" w:styleId="1010">
    <w:name w:val="footnote text"/>
    <w:link w:val="1011"/>
    <w:uiPriority w:val="99"/>
    <w:semiHidden/>
    <w:unhideWhenUsed/>
    <w:rPr>
      <w:sz w:val="18"/>
    </w:rPr>
    <w:pPr>
      <w:spacing w:after="40"/>
    </w:pPr>
  </w:style>
  <w:style w:type="character" w:styleId="1011" w:customStyle="1">
    <w:name w:val="Текст сноски Знак"/>
    <w:link w:val="1010"/>
    <w:uiPriority w:val="99"/>
    <w:rPr>
      <w:sz w:val="18"/>
    </w:rPr>
  </w:style>
  <w:style w:type="character" w:styleId="1012">
    <w:name w:val="footnote reference"/>
    <w:uiPriority w:val="99"/>
    <w:unhideWhenUsed/>
    <w:rPr>
      <w:vertAlign w:val="superscript"/>
    </w:rPr>
  </w:style>
  <w:style w:type="paragraph" w:styleId="1013">
    <w:name w:val="toc 1"/>
    <w:uiPriority w:val="39"/>
    <w:unhideWhenUsed/>
    <w:pPr>
      <w:spacing w:after="57"/>
    </w:pPr>
  </w:style>
  <w:style w:type="paragraph" w:styleId="1014">
    <w:name w:val="toc 2"/>
    <w:uiPriority w:val="39"/>
    <w:unhideWhenUsed/>
    <w:pPr>
      <w:ind w:left="283"/>
      <w:spacing w:after="57"/>
    </w:pPr>
  </w:style>
  <w:style w:type="paragraph" w:styleId="1015">
    <w:name w:val="toc 3"/>
    <w:uiPriority w:val="39"/>
    <w:unhideWhenUsed/>
    <w:pPr>
      <w:ind w:left="567"/>
      <w:spacing w:after="57"/>
    </w:pPr>
  </w:style>
  <w:style w:type="paragraph" w:styleId="1016">
    <w:name w:val="toc 4"/>
    <w:uiPriority w:val="39"/>
    <w:unhideWhenUsed/>
    <w:pPr>
      <w:ind w:left="850"/>
      <w:spacing w:after="57"/>
    </w:pPr>
  </w:style>
  <w:style w:type="paragraph" w:styleId="1017">
    <w:name w:val="toc 5"/>
    <w:uiPriority w:val="39"/>
    <w:unhideWhenUsed/>
    <w:pPr>
      <w:ind w:left="1134"/>
      <w:spacing w:after="57"/>
    </w:pPr>
  </w:style>
  <w:style w:type="paragraph" w:styleId="1018">
    <w:name w:val="toc 6"/>
    <w:uiPriority w:val="39"/>
    <w:unhideWhenUsed/>
    <w:pPr>
      <w:ind w:left="1417"/>
      <w:spacing w:after="57"/>
    </w:pPr>
  </w:style>
  <w:style w:type="paragraph" w:styleId="1019">
    <w:name w:val="toc 7"/>
    <w:uiPriority w:val="39"/>
    <w:unhideWhenUsed/>
    <w:pPr>
      <w:ind w:left="1701"/>
      <w:spacing w:after="57"/>
    </w:pPr>
  </w:style>
  <w:style w:type="paragraph" w:styleId="1020">
    <w:name w:val="toc 8"/>
    <w:uiPriority w:val="39"/>
    <w:unhideWhenUsed/>
    <w:pPr>
      <w:ind w:left="1984"/>
      <w:spacing w:after="57"/>
    </w:pPr>
  </w:style>
  <w:style w:type="paragraph" w:styleId="1021">
    <w:name w:val="toc 9"/>
    <w:uiPriority w:val="39"/>
    <w:unhideWhenUsed/>
    <w:pPr>
      <w:ind w:left="2268"/>
      <w:spacing w:after="57"/>
    </w:pPr>
  </w:style>
  <w:style w:type="paragraph" w:styleId="1022">
    <w:name w:val="TOC Heading"/>
    <w:uiPriority w:val="39"/>
    <w:unhideWhenUsed/>
  </w:style>
  <w:style w:type="paragraph" w:styleId="1023">
    <w:name w:val="Body Text"/>
    <w:basedOn w:val="827"/>
    <w:next w:val="827"/>
    <w:pPr>
      <w:jc w:val="both"/>
    </w:pPr>
  </w:style>
  <w:style w:type="character" w:styleId="1024">
    <w:name w:val="page number"/>
    <w:basedOn w:val="837"/>
  </w:style>
  <w:style w:type="paragraph" w:styleId="1025">
    <w:name w:val="Body Text 2"/>
    <w:basedOn w:val="827"/>
    <w:pPr>
      <w:ind w:right="5102"/>
      <w:jc w:val="center"/>
      <w:spacing w:before="120"/>
    </w:pPr>
  </w:style>
  <w:style w:type="paragraph" w:styleId="1026" w:customStyle="1">
    <w:name w:val="Обращение"/>
    <w:basedOn w:val="827"/>
    <w:next w:val="827"/>
    <w:rPr>
      <w:b/>
    </w:rPr>
    <w:pPr>
      <w:jc w:val="center"/>
      <w:spacing w:after="120" w:before="240"/>
    </w:pPr>
  </w:style>
  <w:style w:type="paragraph" w:styleId="1027" w:customStyle="1">
    <w:name w:val="Адресные реквизиты"/>
    <w:basedOn w:val="1023"/>
    <w:next w:val="1023"/>
    <w:rPr>
      <w:sz w:val="16"/>
    </w:rPr>
    <w:pPr>
      <w:jc w:val="left"/>
    </w:pPr>
  </w:style>
  <w:style w:type="paragraph" w:styleId="1028" w:customStyle="1">
    <w:name w:val="Адресат"/>
    <w:basedOn w:val="827"/>
    <w:rPr>
      <w:b/>
    </w:rPr>
    <w:pPr>
      <w:spacing w:before="120"/>
    </w:pPr>
  </w:style>
  <w:style w:type="paragraph" w:styleId="1029">
    <w:name w:val="Body Text 3"/>
    <w:basedOn w:val="827"/>
    <w:rPr>
      <w:sz w:val="28"/>
    </w:rPr>
    <w:pPr>
      <w:spacing w:before="120"/>
      <w:tabs>
        <w:tab w:val="left" w:pos="7371" w:leader="none"/>
      </w:tabs>
    </w:pPr>
  </w:style>
  <w:style w:type="table" w:styleId="1030" w:customStyle="1">
    <w:name w:val="Сетка таблицы1"/>
    <w:basedOn w:val="838"/>
    <w:next w:val="883"/>
    <w:rPr>
      <w:rFonts w:ascii="Calibri" w:hAnsi="Calibri"/>
    </w:rPr>
    <w:tblPr/>
  </w:style>
  <w:style w:type="paragraph" w:styleId="1031" w:customStyle="1">
    <w:name w:val="ConsPlusNormal"/>
    <w:rPr>
      <w:sz w:val="24"/>
      <w:szCs w:val="24"/>
      <w:lang w:bidi="ar-SA" w:eastAsia="ru-RU"/>
    </w:rPr>
  </w:style>
  <w:style w:type="character" w:styleId="1032" w:customStyle="1">
    <w:name w:val="Основной текст_"/>
    <w:link w:val="1035"/>
    <w:rPr>
      <w:spacing w:val="-2"/>
      <w:sz w:val="26"/>
      <w:szCs w:val="26"/>
      <w:shd w:val="clear" w:fill="FFFFFF" w:color="auto"/>
    </w:rPr>
  </w:style>
  <w:style w:type="character" w:styleId="1033" w:customStyle="1">
    <w:name w:val="Основной текст (7)_"/>
    <w:link w:val="1036"/>
    <w:rPr>
      <w:b/>
      <w:bCs/>
      <w:spacing w:val="-3"/>
      <w:sz w:val="26"/>
      <w:szCs w:val="26"/>
      <w:shd w:val="clear" w:fill="FFFFFF" w:color="auto"/>
    </w:rPr>
  </w:style>
  <w:style w:type="character" w:styleId="1034" w:customStyle="1">
    <w:name w:val="Основной текст (10)_"/>
    <w:link w:val="1037"/>
    <w:rPr>
      <w:i/>
      <w:iCs/>
      <w:spacing w:val="-4"/>
      <w:shd w:val="clear" w:fill="FFFFFF" w:color="auto"/>
    </w:rPr>
  </w:style>
  <w:style w:type="paragraph" w:styleId="1035" w:customStyle="1">
    <w:name w:val="Основной текст2"/>
    <w:basedOn w:val="827"/>
    <w:link w:val="1032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1036" w:customStyle="1">
    <w:name w:val="Основной текст (7)"/>
    <w:basedOn w:val="827"/>
    <w:link w:val="1033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037" w:customStyle="1">
    <w:name w:val="Основной текст (10)"/>
    <w:basedOn w:val="827"/>
    <w:link w:val="1034"/>
    <w:rPr>
      <w:i/>
      <w:iCs/>
      <w:spacing w:val="-4"/>
      <w:sz w:val="20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1038">
    <w:name w:val="Normal (Web)"/>
    <w:basedOn w:val="827"/>
    <w:rPr>
      <w:sz w:val="24"/>
      <w:szCs w:val="24"/>
    </w:rPr>
    <w:pPr>
      <w:spacing w:after="100" w:afterAutospacing="1" w:before="100" w:beforeAutospacing="1"/>
    </w:pPr>
  </w:style>
  <w:style w:type="paragraph" w:styleId="1039" w:customStyle="1">
    <w:name w:val="Знак Знак Знак Знак Знак Знак Знак Знак Знак Знак Знак Знак Знак Знак Знак1 Знак Знак Знак Знак"/>
    <w:basedOn w:val="827"/>
    <w:next w:val="829"/>
    <w:rPr>
      <w:sz w:val="24"/>
      <w:lang w:val="en-US"/>
    </w:rPr>
    <w:pPr>
      <w:spacing w:lineRule="exact" w:line="240" w:after="160"/>
    </w:pPr>
  </w:style>
  <w:style w:type="paragraph" w:styleId="1040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1041" w:customStyle="1">
    <w:name w:val="Заголовок 2 Знак"/>
    <w:link w:val="829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1042" w:customStyle="1">
    <w:name w:val="Исполнитель"/>
    <w:basedOn w:val="827"/>
    <w:rPr>
      <w:sz w:val="20"/>
    </w:rPr>
  </w:style>
  <w:style w:type="character" w:styleId="1043" w:customStyle="1">
    <w:name w:val="Заголовок 1 Знак"/>
    <w:link w:val="828"/>
    <w:rPr>
      <w:rFonts w:ascii="Cambria" w:hAnsi="Cambria"/>
      <w:b/>
      <w:bCs/>
      <w:sz w:val="32"/>
      <w:szCs w:val="32"/>
    </w:rPr>
  </w:style>
  <w:style w:type="paragraph" w:styleId="1044" w:customStyle="1">
    <w:name w:val="Обычный1"/>
    <w:rPr>
      <w:lang w:bidi="ar-SA" w:eastAsia="ru-RU"/>
    </w:rPr>
  </w:style>
  <w:style w:type="character" w:styleId="1045" w:customStyle="1">
    <w:name w:val="Верхний колонтитул Знак"/>
    <w:link w:val="879"/>
    <w:rPr>
      <w:b/>
      <w:caps/>
      <w:sz w:val="28"/>
    </w:rPr>
  </w:style>
  <w:style w:type="paragraph" w:styleId="1046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1047" w:customStyle="1">
    <w:name w:val="Основной текст (6)_"/>
    <w:link w:val="1048"/>
    <w:rPr>
      <w:b/>
      <w:bCs/>
      <w:i/>
      <w:iCs/>
      <w:sz w:val="26"/>
      <w:szCs w:val="26"/>
      <w:shd w:val="clear" w:fill="FFFFFF" w:color="auto"/>
    </w:rPr>
  </w:style>
  <w:style w:type="paragraph" w:styleId="1048" w:customStyle="1">
    <w:name w:val="Основной текст (6)"/>
    <w:basedOn w:val="827"/>
    <w:link w:val="1047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1049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1050">
    <w:name w:val="Balloon Text"/>
    <w:basedOn w:val="827"/>
    <w:link w:val="1051"/>
    <w:rPr>
      <w:rFonts w:ascii="Tahoma" w:hAnsi="Tahoma"/>
      <w:sz w:val="16"/>
      <w:szCs w:val="16"/>
      <w:lang w:val="en-US"/>
    </w:rPr>
  </w:style>
  <w:style w:type="character" w:styleId="1051" w:customStyle="1">
    <w:name w:val="Текст выноски Знак"/>
    <w:link w:val="1050"/>
    <w:rPr>
      <w:rFonts w:ascii="Tahoma" w:hAnsi="Tahoma"/>
      <w:sz w:val="16"/>
      <w:szCs w:val="16"/>
    </w:rPr>
  </w:style>
  <w:style w:type="character" w:styleId="1052" w:customStyle="1">
    <w:name w:val="Font Style21"/>
    <w:basedOn w:val="837"/>
    <w:rPr>
      <w:rFonts w:ascii="Times New Roman" w:hAnsi="Times New Roman"/>
      <w:sz w:val="26"/>
      <w:szCs w:val="26"/>
    </w:rPr>
  </w:style>
  <w:style w:type="character" w:styleId="1053">
    <w:name w:val="Strong"/>
    <w:rPr>
      <w:b/>
    </w:rPr>
  </w:style>
  <w:style w:type="paragraph" w:styleId="1054" w:customStyle="1">
    <w:name w:val="Абзац списка5"/>
    <w:rPr>
      <w:rFonts w:ascii="Calibri" w:hAnsi="Calibri"/>
      <w:lang w:bidi="ar-SA"/>
    </w:rPr>
    <w:pPr>
      <w:contextualSpacing w:val="true"/>
      <w:ind w:left="720"/>
      <w:spacing w:lineRule="auto" w:line="276" w:after="20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55">
    <w:name w:val="Body Text Indent 2"/>
    <w:rPr>
      <w:sz w:val="26"/>
      <w:lang w:val="en-US" w:bidi="ar-SA"/>
    </w:rPr>
    <w:pPr>
      <w:ind w:left="283" w:firstLine="709"/>
      <w:spacing w:lineRule="auto" w:line="480" w:after="1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56" w:customStyle="1">
    <w:name w:val="ConsPlusNonformat"/>
    <w:rPr>
      <w:rFonts w:ascii="Courier New" w:hAnsi="Courier New" w:cs="Courier New"/>
      <w:sz w:val="20"/>
      <w:szCs w:val="20"/>
      <w:lang w:bidi="ar-SA" w:eastAsia="ru-RU"/>
    </w:rPr>
    <w:pPr>
      <w:widowControl w:val="off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table" w:styleId="1057" w:customStyle="1">
    <w:name w:val="Сетка таблицы2"/>
    <w:uiPriority w:val="59"/>
    <w:rPr>
      <w:rFonts w:ascii="Calibri" w:hAnsi="Calibri" w:cs="Calibri" w:eastAsia="Calibri"/>
      <w:lang w:bidi="ar-SA" w:eastAsia="ru-RU"/>
    </w:rPr>
    <w:pPr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  <w:tblPr>
      <w:tblStyleRowBandSize w:val="1"/>
      <w:tblStyleColBandSize w:val="1"/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W w:w="0" w:type="auto"/>
    </w:tcPr>
  </w:style>
  <w:style w:type="paragraph" w:styleId="1058">
    <w:name w:val="Body Text Indent 3"/>
    <w:rPr>
      <w:sz w:val="16"/>
      <w:szCs w:val="16"/>
      <w:lang w:val="en-US" w:bidi="ar-SA"/>
    </w:rPr>
    <w:pPr>
      <w:ind w:left="283" w:firstLine="709"/>
      <w:spacing w:after="1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1059">
    <w:name w:val="FollowedHyperlink"/>
    <w:basedOn w:val="837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footer" Target="footer1.xml" /><Relationship Id="rId15" Type="http://schemas.openxmlformats.org/officeDocument/2006/relationships/customXml" Target="../customXml/item1.xml" /><Relationship Id="rId16" Type="http://schemas.openxmlformats.org/officeDocument/2006/relationships/customXml" Target="../customXml/item2.xml" /><Relationship Id="rId17" Type="http://schemas.openxmlformats.org/officeDocument/2006/relationships/customXml" Target="../customXml/item3.xml" /><Relationship Id="rId18" Type="http://schemas.openxmlformats.org/officeDocument/2006/relationships/image" Target="media/image2.jpg"/><Relationship Id="rId19" Type="http://schemas.openxmlformats.org/officeDocument/2006/relationships/image" Target="media/image3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09E076EC-8D4C-4E5B-BBFF-D36FBF9812D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Ярославцева</dc:creator>
  <cp:revision>97</cp:revision>
  <dcterms:created xsi:type="dcterms:W3CDTF">2022-06-06T09:45:00Z</dcterms:created>
  <dcterms:modified xsi:type="dcterms:W3CDTF">2022-12-19T10:01:02Z</dcterms:modified>
</cp:coreProperties>
</file>