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Style w:val="877"/>
        <w:tblW w:w="0" w:type="auto"/>
        <w:tblInd w:w="137" w:type="dxa"/>
        <w:tblLook w:val="04A0" w:firstRow="1" w:lastRow="0" w:firstColumn="1" w:lastColumn="0" w:noHBand="0" w:noVBand="1"/>
      </w:tblPr>
      <w:tblGrid>
        <w:gridCol w:w="2410"/>
        <w:gridCol w:w="3827"/>
        <w:gridCol w:w="635"/>
        <w:gridCol w:w="2336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410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19.12.2022</w:t>
            </w:r>
            <w:r/>
          </w:p>
        </w:tc>
        <w:tc>
          <w:tcPr>
            <w:tcBorders>
              <w:left w:val="none" w:color="000000" w:sz="4" w:space="0"/>
            </w:tcBorders>
            <w:tcW w:w="382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63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36" w:type="dxa"/>
            <w:textDirection w:val="lrTb"/>
            <w:noWrap w:val="false"/>
          </w:tcPr>
          <w:p>
            <w:pPr>
              <w:contextualSpacing w:val="true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№ 0245/01-07</w:t>
            </w:r>
            <w:r/>
          </w:p>
        </w:tc>
      </w:tr>
      <w:tr>
        <w:trPr/>
        <w:tc>
          <w:tcPr>
            <w:gridSpan w:val="4"/>
            <w:tcW w:w="920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gridSpan w:val="4"/>
            <w:tcW w:w="920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«2–х этажный дом на кирпичном цоколе», 1902 г.</w:t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со статьей 47.6 Федерального закона от 25.06.2002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оссийской Федерации, и порядка его подготовки и утверждения», подпунктом б) пункта 8) части 9 главы 2 Положения о Комитете по охране объектов культурного наследия Томской области, утвержденного постановлением Губернатора Томской области от 29.04.2016 № 37,</w:t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1. Утвердить Охранное обязательство собственника или иного законного владельца объекта культурного наследия регионального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значения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«2–х этажный дом на кирпичном цоколе», 1902 г.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, расположенного по адресу: Томская область, г. Томск, Татарская (улица),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35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согласно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приложению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 настоящему приказу.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2. Направить копию настоящего приказа собственникам или иным законным владельцам объекта культурного наследия не позднее пятнадцати рабочих дней со дня утверждения.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3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Контроль за исполнением настоящего приказа возложить на председателя Комитета по охране объектов культурного наследия Томской области. </w:t>
      </w:r>
      <w:r/>
    </w:p>
    <w:tbl>
      <w:tblPr>
        <w:tblW w:w="9493" w:type="dxa"/>
        <w:tblLook w:val="04A0" w:firstRow="1" w:lastRow="0" w:firstColumn="1" w:lastColumn="0" w:noHBand="0" w:noVBand="1"/>
      </w:tblPr>
      <w:tblGrid>
        <w:gridCol w:w="3256"/>
        <w:gridCol w:w="4094"/>
        <w:gridCol w:w="2143"/>
      </w:tblGrid>
      <w:tr>
        <w:trPr/>
        <w:tc>
          <w:tcPr>
            <w:tcW w:w="3256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18"/>
                <w:szCs w:val="18"/>
              </w:rPr>
            </w:pPr>
            <w:r>
              <w:rPr>
                <w:rFonts w:ascii="PT Astra Serif" w:hAnsi="PT Astra Serif" w:cs="PT Astra Serif" w:eastAsia="PT Astra Serif"/>
                <w:sz w:val="18"/>
                <w:szCs w:val="18"/>
              </w:rPr>
              <w:t xml:space="preserve">Л.С. Астафьева</w:t>
            </w:r>
            <w:r/>
          </w:p>
        </w:tc>
        <w:tc>
          <w:tcPr>
            <w:tcW w:w="40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143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 Перетягина</w:t>
            </w:r>
            <w:r/>
          </w:p>
        </w:tc>
      </w:tr>
    </w:tbl>
    <w:p>
      <w:pPr>
        <w:pStyle w:val="1036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4"/>
          <w:footnotePr/>
          <w:endnotePr/>
          <w:type w:val="continuous"/>
          <w:pgSz w:w="11907" w:h="16840" w:orient="portrait"/>
          <w:pgMar w:top="1418" w:right="851" w:bottom="709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877"/>
        <w:tblW w:w="0" w:type="auto"/>
        <w:tblInd w:w="5103" w:type="dxa"/>
        <w:tblLook w:val="04A0" w:firstRow="1" w:lastRow="0" w:firstColumn="1" w:lastColumn="0" w:noHBand="0" w:noVBand="1"/>
      </w:tblPr>
      <w:tblGrid>
        <w:gridCol w:w="421"/>
        <w:gridCol w:w="1574"/>
        <w:gridCol w:w="410"/>
        <w:gridCol w:w="1837"/>
      </w:tblGrid>
      <w:tr>
        <w:trPr/>
        <w:tc>
          <w:tcPr>
            <w:gridSpan w:val="2"/>
            <w:tcW w:w="19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УТВЕРЖДЕНО</w:t>
            </w:r>
            <w:r/>
          </w:p>
        </w:tc>
        <w:tc>
          <w:tcPr>
            <w:tcW w:w="41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/>
          </w:p>
        </w:tc>
        <w:tc>
          <w:tcPr>
            <w:tcW w:w="18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/>
          </w:p>
        </w:tc>
      </w:tr>
      <w:tr>
        <w:trPr/>
        <w:tc>
          <w:tcPr>
            <w:gridSpan w:val="4"/>
            <w:tcW w:w="42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приказом Комитета по охране объектов культурного наследия Томской области</w:t>
            </w:r>
            <w:r/>
          </w:p>
        </w:tc>
      </w:tr>
      <w:tr>
        <w:trPr/>
        <w:tc>
          <w:tcPr>
            <w:tcBorders>
              <w:right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19.12.2022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№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8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0245/01-07</w:t>
            </w:r>
            <w:r/>
          </w:p>
        </w:tc>
      </w:tr>
    </w:tbl>
    <w:p>
      <w:pPr>
        <w:ind w:left="5103"/>
        <w:jc w:val="both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1030"/>
        <w:spacing w:lineRule="auto" w:line="240"/>
        <w:shd w:val="clear" w:fill="auto" w:color="auto"/>
        <w:rPr>
          <w:rFonts w:ascii="PT Astra Serif" w:hAnsi="PT Astra Serif" w:cs="PT Astra Serif" w:eastAsia="PT Astra Serif"/>
          <w:color w:val="000000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/>
        </w:rPr>
      </w:r>
      <w:r/>
    </w:p>
    <w:p>
      <w:pPr>
        <w:pStyle w:val="1030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t xml:space="preserve">ОХРАННОЕ ОБЯЗАТЕЛЬСТВО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СОБСТВЕННИКА ИЛИ ИНОГО ЗАКОННОГО ВЛАДЕЛЬЦА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 включенного в единый государственный реестр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объектов культурного наследия (памятников истории и культуры)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 народов Российской Федерации</w:t>
      </w:r>
      <w:r/>
    </w:p>
    <w:p>
      <w:pPr>
        <w:pStyle w:val="1029"/>
        <w:spacing w:lineRule="auto" w:line="240" w:after="0"/>
        <w:shd w:val="clear" w:fill="auto" w:color="auto"/>
        <w:rPr>
          <w:rFonts w:ascii="PT Astra Serif" w:hAnsi="PT Astra Serif" w:cs="PT Astra Serif" w:eastAsia="PT Astra Serif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sz w:val="24"/>
          <w:szCs w:val="24"/>
          <w:lang w:val="ru-RU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391" w:type="dxa"/>
            <w:textDirection w:val="lrTb"/>
            <w:noWrap w:val="false"/>
          </w:tcPr>
          <w:p>
            <w:pPr>
              <w:pStyle w:val="1029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  <w:lang w:val="ru-RU" w:bidi="ru-RU" w:eastAsia="ru-RU"/>
              </w:rPr>
              <w:t xml:space="preserve">«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787" w:type="dxa"/>
            <w:textDirection w:val="lrTb"/>
            <w:noWrap w:val="false"/>
          </w:tcPr>
          <w:p>
            <w:pPr>
              <w:pStyle w:val="1029"/>
              <w:ind w:left="-60" w:right="-61"/>
              <w:jc w:val="center"/>
              <w:rPr>
                <w:rFonts w:ascii="PT Astra Serif" w:hAnsi="PT Astra Serif" w:eastAsia="PT Astra Serif"/>
                <w:color w:val="000000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2–х этажный д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ом на кирпичном цоколе</w:t>
            </w:r>
            <w:r/>
          </w:p>
        </w:tc>
        <w:tc>
          <w:tcPr>
            <w:tcBorders>
              <w:left w:val="single" w:color="000000" w:sz="4" w:space="0"/>
            </w:tcBorders>
            <w:tcW w:w="393" w:type="dxa"/>
            <w:textDirection w:val="lrTb"/>
            <w:noWrap w:val="false"/>
          </w:tcPr>
          <w:p>
            <w:pPr>
              <w:pStyle w:val="1029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  <w:lang w:val="ru-RU" w:bidi="ru-RU" w:eastAsia="ru-RU"/>
              </w:rPr>
              <w:t xml:space="preserve">»</w:t>
            </w:r>
            <w:r/>
          </w:p>
        </w:tc>
      </w:tr>
    </w:tbl>
    <w:p>
      <w:pPr>
        <w:pStyle w:val="1031"/>
        <w:ind w:firstLine="0"/>
        <w:spacing w:lineRule="exact" w:line="240" w:after="0" w:before="0"/>
        <w:shd w:val="clear" w:fill="auto" w:color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наименование объекта культурного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)</w:t>
      </w:r>
      <w:r/>
    </w:p>
    <w:p>
      <w:pPr>
        <w:pStyle w:val="1029"/>
        <w:spacing w:lineRule="auto" w:line="240" w:after="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lang w:val="ru-RU"/>
        </w:rPr>
      </w:r>
      <w:r/>
    </w:p>
    <w:tbl>
      <w:tblPr>
        <w:tblW w:w="8510" w:type="dxa"/>
        <w:jc w:val="center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jc w:val="center"/>
          <w:trHeight w:val="375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7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</w:rPr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1006"/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footnoteReference w:id="2"/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:</w:t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имеется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val="en-US" w:bidi="ru-RU"/>
              </w:rPr>
              <w:t xml:space="preserve">V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отсутствует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культурного наследия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наименовании объекта культурного наследия:</w:t>
      </w:r>
      <w:r/>
    </w:p>
    <w:p>
      <w:pPr>
        <w:ind w:left="1069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категории историко-культурного значения объекта культурного наследия: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>
        <w:trPr>
          <w:trHeight w:val="427"/>
        </w:trPr>
        <w:tc>
          <w:tcPr>
            <w:tcBorders>
              <w:right w:val="single" w:color="000000" w:sz="4" w:space="0"/>
            </w:tcBorders>
            <w:tcW w:w="21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федерального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регионального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муниципального значения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1.4.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виде объекта культурного наследия:</w:t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>
        <w:trPr>
          <w:trHeight w:val="371"/>
        </w:trPr>
        <w:tc>
          <w:tcPr>
            <w:tcBorders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ансамбль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1.5.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1.6.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описание местоположения объекта):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/>
    </w:p>
    <w:p>
      <w:pPr>
        <w:jc w:val="center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435"/>
        </w:trPr>
        <w:tc>
          <w:tcPr>
            <w:tcBorders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ул.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корп. и (или) стр.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кадастровый номер (при наличии):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/>
    </w:p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1.7.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1.8.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Описание предмета охраны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1.9.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Фотографическое (иное графическое) изображение объекта культурного наследи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наличии зон охран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Style w:val="877"/>
        <w:tblW w:w="0" w:type="auto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№</w:t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наследия</w:t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Адрес объекта или местоположение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Границы территории объекта культурного наследия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Предмет охраны объекта культурного наследия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Зоны охраны объекта культурного наследия</w:t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Иные сведения, предусмотренные Законом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Раздел 2. Требования к сохранению объекта культурного наследия</w:t>
      </w:r>
      <w:r/>
    </w:p>
    <w:p>
      <w:pPr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1 статьи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1 статьи 47.3 Закона № 73-Ф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3) не проводить работ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ы, изменяющие облик, объемно-планировочные и 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4) обеспечивать сохранность и неизменность облика выявленного объекта культурного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5) соблюдать установленные статьей 5.1 Закона № 73-ФЗ тр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археологического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6) не использовать объект культурного наследия (за исключением оборудованных с учетом требований противопожарной безопас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ности объектов культурного наследия, предназначенных либо предназначавшихся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объекты производства, имеющие оборудование, оказывающее динамическое и вибрационное воздействие на конструкции объекта культурного наследия, независимо от мощности данного оборудования;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льствах, причинивших вред объекту культурного 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дия, или угрожающих причинением такого вреда, и безотлагательно принимать меры по 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  <w:r/>
    </w:p>
    <w:p>
      <w:pPr>
        <w:ind w:right="-1"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8) не допускать ухудшения состояния территории объекта культурного наследия, включенного в реестр, поддерживать территорию объекта культурного наследия в благоустроенном состоянии.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случае если содерж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ание или 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благоустройству в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3.5.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к объекту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Закона № 73-ФЗ с учет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  <w:r/>
    </w:p>
    <w:p>
      <w:pPr>
        <w:ind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 объекту культурного наследия. 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5. Требования к размещению наружной рекламы 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соответствии с законодательством Российской Федерации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5.1.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br/>
        <w:t xml:space="preserve">35.1 Закона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-5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0"/>
      </w:tblGrid>
      <w:tr>
        <w:trPr/>
        <w:tc>
          <w:tcPr>
            <w:tcW w:w="93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объектах культурного наследия, включенных в реестр, а также на их территориях не доп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 зрелищно-развлекательных меропри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чем десять процентов рекламной площади (пространства).</w:t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sz w:val="24"/>
          <w:szCs w:val="24"/>
        </w:rPr>
        <w:outlineLvl w:val="2"/>
      </w:pPr>
      <w:r/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обозначений на объект культурного наследия</w:t>
      </w:r>
      <w:bookmarkEnd w:id="0"/>
      <w:r/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информацию об объекте культурного наследия, в порядке, определенном пунктом 2 статьи 27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об информационной надписи и обозначениях на объекте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shd w:val="clear" w:fill="auto" w:color="auto"/>
            <w:tcW w:w="92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установлена. </w:t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объекта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Необходимость проведения работ по консервации и реставрации объекта культу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 соответствии с пунктом 6 статьи 45 Закона № 73-ФЗ.</w:t>
            </w:r>
            <w:r/>
          </w:p>
        </w:tc>
      </w:tr>
    </w:tbl>
    <w:p>
      <w:p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709"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br w:type="page"/>
      </w:r>
      <w:r/>
    </w:p>
    <w:tbl>
      <w:tblPr>
        <w:tblStyle w:val="877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>
        <w:trPr/>
        <w:tc>
          <w:tcPr>
            <w:tcW w:w="5097" w:type="dxa"/>
            <w:textDirection w:val="lrTb"/>
            <w:noWrap w:val="false"/>
          </w:tcPr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Приложение № 1 </w:t>
            </w:r>
            <w:r/>
          </w:p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 </w:t>
            </w:r>
            <w:r/>
          </w:p>
        </w:tc>
      </w:tr>
    </w:tbl>
    <w:p>
      <w:pPr>
        <w:ind w:right="-1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Состав (перечень) и сроки (периодичность) работ по сохранению объекта культурного наследия</w:t>
      </w:r>
      <w:r/>
    </w:p>
    <w:p>
      <w:pPr>
        <w:pStyle w:val="105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/>
    </w:p>
    <w:p>
      <w:pPr>
        <w:pStyle w:val="105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sz w:val="26"/>
        </w:rPr>
      </w:r>
      <w:r/>
    </w:p>
    <w:tbl>
      <w:tblPr>
        <w:tblW w:w="9243" w:type="dxa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64"/>
        <w:gridCol w:w="2693"/>
        <w:gridCol w:w="3119"/>
      </w:tblGrid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№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п/п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Состав (перечень) </w:t>
            </w:r>
            <w:r/>
          </w:p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видов работ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Сроки (периодичность) проведения работ</w:t>
            </w:r>
            <w:r/>
          </w:p>
        </w:tc>
        <w:tc>
          <w:tcPr>
            <w:shd w:val="clear" w:fill="auto" w:color="auto"/>
            <w:tcW w:w="3119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Примечание</w:t>
            </w:r>
            <w:r>
              <w:rPr>
                <w:rStyle w:val="1006"/>
                <w:rFonts w:ascii="PT Astra Serif" w:hAnsi="PT Astra Serif"/>
                <w:sz w:val="24"/>
                <w:szCs w:val="24"/>
              </w:rPr>
              <w:footnoteReference w:id="3"/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1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Организовать разработку проектной документации на проведение работ по сохранению Объекта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срок до 30.06.2026</w:t>
            </w:r>
            <w:r/>
          </w:p>
        </w:tc>
        <w:tc>
          <w:tcPr>
            <w:shd w:val="clear" w:fill="auto" w:color="auto"/>
            <w:tcW w:w="3119" w:type="dxa"/>
            <w:vMerge w:val="restart"/>
            <w:textDirection w:val="lrTb"/>
            <w:noWrap w:val="false"/>
          </w:tcPr>
          <w:p>
            <w:pPr>
              <w:pStyle w:val="863"/>
              <w:numPr>
                <w:ilvl w:val="0"/>
                <w:numId w:val="10"/>
              </w:numPr>
              <w:ind w:left="0" w:firstLine="0"/>
              <w:tabs>
                <w:tab w:val="left" w:pos="317" w:leader="none"/>
              </w:tabs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акт технического состояния от </w:t>
            </w: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01.04</w:t>
            </w: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.2022;</w:t>
            </w:r>
            <w:r/>
          </w:p>
          <w:p>
            <w:pPr>
              <w:pStyle w:val="863"/>
              <w:numPr>
                <w:ilvl w:val="0"/>
                <w:numId w:val="10"/>
              </w:numPr>
              <w:ind w:left="34" w:hanging="34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письмо Комитета по охране объектов культурного наследия Томской области от 0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.04.2022 № 48-01-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0898</w:t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2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Организовать проведение работ по сохранению Объекта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срок до 31.12.2028</w:t>
            </w:r>
            <w:r/>
          </w:p>
        </w:tc>
        <w:tc>
          <w:tcPr>
            <w:shd w:val="clear" w:fill="auto" w:color="auto"/>
            <w:tcW w:w="3119" w:type="dxa"/>
            <w:vMerge w:val="continue"/>
            <w:textDirection w:val="lrTb"/>
            <w:noWrap w:val="false"/>
          </w:tcPr>
          <w:p>
            <w:pPr>
              <w:pStyle w:val="863"/>
              <w:numPr>
                <w:ilvl w:val="0"/>
                <w:numId w:val="10"/>
              </w:numPr>
              <w:ind w:left="34" w:hanging="34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Поддерживать помещения Объекта в надлежащем техническом состоянии без ухудшения физического состояния и изменения предмета охраны.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период эксплуатации</w:t>
            </w:r>
            <w:r/>
          </w:p>
        </w:tc>
        <w:tc>
          <w:tcPr>
            <w:shd w:val="clear" w:fill="auto" w:color="auto"/>
            <w:tcW w:w="3119" w:type="dxa"/>
            <w:vMerge w:val="continue"/>
            <w:textDirection w:val="lrTb"/>
            <w:noWrap w:val="false"/>
          </w:tcPr>
          <w:p>
            <w:pPr>
              <w:pStyle w:val="863"/>
              <w:numPr>
                <w:ilvl w:val="0"/>
                <w:numId w:val="10"/>
              </w:numPr>
              <w:ind w:left="34" w:firstLine="0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Своевременно убирать снег с крыши, пристроек и территории Объекта.</w:t>
            </w:r>
            <w:r/>
          </w:p>
        </w:tc>
        <w:tc>
          <w:tcPr>
            <w:shd w:val="clear" w:fill="auto" w:color="auto"/>
            <w:tcW w:w="2693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период эксплуатации</w:t>
            </w:r>
            <w:r/>
          </w:p>
        </w:tc>
        <w:tc>
          <w:tcPr>
            <w:shd w:val="clear" w:fill="auto" w:color="auto"/>
            <w:tcW w:w="3119" w:type="dxa"/>
            <w:vMerge w:val="continue"/>
            <w:textDirection w:val="lrTb"/>
            <w:noWrap w:val="false"/>
          </w:tcPr>
          <w:p>
            <w:pPr>
              <w:pStyle w:val="863"/>
              <w:numPr>
                <w:ilvl w:val="0"/>
                <w:numId w:val="10"/>
              </w:numPr>
              <w:ind w:left="34" w:firstLine="0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/>
    </w:p>
    <w:tbl>
      <w:tblPr>
        <w:tblStyle w:val="877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>
        <w:trPr/>
        <w:tc>
          <w:tcPr>
            <w:tcW w:w="5108" w:type="dxa"/>
            <w:textDirection w:val="lrTb"/>
            <w:noWrap w:val="false"/>
          </w:tcPr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Приложение № 2 </w:t>
            </w:r>
            <w:r/>
          </w:p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 </w:t>
            </w:r>
            <w:r/>
          </w:p>
        </w:tc>
      </w:tr>
    </w:tbl>
    <w:p>
      <w:pPr>
        <w:ind w:right="-1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1006"/>
          <w:rFonts w:ascii="PT Astra Serif" w:hAnsi="PT Astra Serif" w:cs="PT Astra Serif" w:eastAsia="PT Astra Serif"/>
          <w:color w:val="000000"/>
          <w:sz w:val="24"/>
          <w:szCs w:val="24"/>
        </w:rPr>
        <w:footnoteReference w:id="4"/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:</w:t>
      </w:r>
      <w:r/>
    </w:p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0"/>
          <w:szCs w:val="20"/>
        </w:rPr>
      </w:pPr>
      <w:r>
        <w:rPr>
          <w:rFonts w:ascii="PT Astra Serif" w:hAnsi="PT Astra Serif" w:cs="PT Astra Serif" w:eastAsia="PT Astra Serif"/>
          <w:color w:val="000000"/>
          <w:sz w:val="20"/>
          <w:szCs w:val="20"/>
        </w:rPr>
      </w:r>
      <w:r/>
    </w:p>
    <w:tbl>
      <w:tblPr>
        <w:tblStyle w:val="877"/>
        <w:tblW w:w="0" w:type="auto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386"/>
        <w:gridCol w:w="3084"/>
      </w:tblGrid>
      <w:tr>
        <w:trPr/>
        <w:tc>
          <w:tcPr>
            <w:shd w:val="clear" w:fill="auto" w:color="auto"/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№ п/п</w:t>
            </w:r>
            <w:r/>
          </w:p>
        </w:tc>
        <w:tc>
          <w:tcPr>
            <w:shd w:val="clear" w:fill="auto" w:color="auto"/>
            <w:tcW w:w="53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  <w:r/>
          </w:p>
        </w:tc>
        <w:tc>
          <w:tcPr>
            <w:shd w:val="clear" w:fill="auto" w:color="auto"/>
            <w:tcW w:w="3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1006"/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footnoteReference w:id="5"/>
            </w:r>
            <w:r/>
          </w:p>
        </w:tc>
      </w:tr>
      <w:tr>
        <w:trPr>
          <w:trHeight w:val="276"/>
        </w:trPr>
        <w:tc>
          <w:tcPr>
            <w:shd w:val="clear" w:fill="auto" w:color="auto"/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shd w:val="clear" w:fill="auto" w:color="auto"/>
            <w:tcW w:w="538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доступ гражданам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Российской Федерации, иностранным гражданам и лицам без гражданства к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объекту культурного наследия (на его территорию) в соответствии с распорядком, установленным собственниками или иными законными владельцами объекта культурного наследия.</w:t>
            </w:r>
            <w:r/>
          </w:p>
        </w:tc>
        <w:tc>
          <w:tcPr>
            <w:shd w:val="clear" w:fill="auto" w:color="auto"/>
            <w:tcW w:w="308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письмо Комитета по охране объектов культурного наследия Томской области от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08.04.2022 № 48-01-0898</w:t>
            </w:r>
            <w:r/>
          </w:p>
        </w:tc>
      </w:tr>
    </w:tbl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урного наследия 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1006"/>
          <w:rFonts w:ascii="PT Astra Serif" w:hAnsi="PT Astra Serif" w:cs="PT Astra Serif" w:eastAsia="PT Astra Serif"/>
          <w:color w:val="000000"/>
          <w:sz w:val="24"/>
          <w:szCs w:val="24"/>
        </w:rPr>
        <w:footnoteReference w:id="6"/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:</w:t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0"/>
          <w:szCs w:val="20"/>
        </w:rPr>
      </w:pPr>
      <w:r>
        <w:rPr>
          <w:rFonts w:ascii="PT Astra Serif" w:hAnsi="PT Astra Serif" w:cs="PT Astra Serif" w:eastAsia="PT Astra Serif"/>
          <w:color w:val="000000"/>
          <w:sz w:val="20"/>
          <w:szCs w:val="20"/>
        </w:rPr>
      </w:r>
      <w:r/>
    </w:p>
    <w:tbl>
      <w:tblPr>
        <w:tblStyle w:val="877"/>
        <w:tblW w:w="9570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№ п/п</w:t>
            </w:r>
            <w:r/>
          </w:p>
        </w:tc>
        <w:tc>
          <w:tcPr>
            <w:tcW w:w="541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  <w:r/>
          </w:p>
        </w:tc>
        <w:tc>
          <w:tcPr>
            <w:tcW w:w="30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1006"/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footnoteReference w:id="7"/>
            </w:r>
            <w:r/>
          </w:p>
        </w:tc>
      </w:tr>
      <w:tr>
        <w:trPr>
          <w:trHeight w:val="276"/>
        </w:trPr>
        <w:tc>
          <w:tcPr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shd w:val="clear" w:fill="auto" w:color="auto"/>
            <w:tcW w:w="54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/>
          </w:p>
        </w:tc>
        <w:tc>
          <w:tcPr>
            <w:tcW w:w="305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spacing w:before="120"/>
        <w:rPr>
          <w:rFonts w:ascii="PT Astra Serif" w:hAnsi="PT Astra Serif" w:cs="PT Astra Serif" w:eastAsia="PT Astra Serif"/>
        </w:rPr>
        <w:sectPr>
          <w:headerReference w:type="first" r:id="rId12"/>
          <w:footnotePr/>
          <w:endnotePr/>
          <w:type w:val="nextPage"/>
          <w:pgSz w:w="11907" w:h="16840" w:orient="portrait"/>
          <w:pgMar w:top="851" w:right="851" w:bottom="993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jc w:val="right"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ind w:right="113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/>
    </w:p>
    <w:tbl>
      <w:tblPr>
        <w:tblW w:w="0" w:type="auto"/>
        <w:jc w:val="right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jc w:val="right"/>
          <w:trHeight w:val="397" w:hRule="exact"/>
        </w:trPr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</w:tr>
    </w:tbl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наследия в едином государственном реестре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объектов культурного наследия (памятников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истории и культуры) народов Российской Федерации</w:t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Паспорт объекта культурного наследия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 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за исключением отдельных объектов археологического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  <w:lang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25509" cy="3243020"/>
                <wp:effectExtent l="0" t="0" r="0" b="0"/>
                <wp:docPr id="2" name="Рисунок 4" descr="\\10.0.58.5\memorial\06-18 ГОСУДАРСТВЕННЫЙ НАДЗОР - ПРОВЕРКИ\_2022 ГОД\Обследования-фотофиксация раз в 5 лет (РОКН)\Татарская,35\фото 28_03_2022\IMG_6133.JPG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10.0.58.5\memorial\06-18 ГОСУДАРСТВЕННЫЙ НАДЗОР - ПРОВЕРКИ\_2022 ГОД\Обследования-фотофиксация раз в 5 лет (РОКН)\Татарская,35\фото 28_03_2022\IMG_6133.JPG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4351661" cy="3262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340.6pt;height:255.4pt;" stroked="f">
                <v:path textboxrect="0,0,0,0"/>
                <v:imagedata r:id="rId18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8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</w:tr>
    </w:tbl>
    <w:p>
      <w:pPr>
        <w:ind w:left="550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/>
    </w:p>
    <w:p>
      <w:pPr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Сведения о наименовании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«2–х э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тажный дом на кирпичном цоколе»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</w:p>
        </w:tc>
      </w:tr>
    </w:tbl>
    <w:p>
      <w:pPr>
        <w:jc w:val="both"/>
        <w:keepNext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1902 г.</w:t>
            </w:r>
            <w:r/>
          </w:p>
        </w:tc>
      </w:tr>
    </w:tbl>
    <w:p>
      <w:pPr>
        <w:keepNext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(муниципального)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место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17.02.1978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«О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дополнительной постановке на охрану памятников истории и культуры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»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объекта)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г. Томск, Советский район, Татарская (улица),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35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shd w:val="clear" w:fill="auto" w:color="auto"/>
            <w:tcBorders>
              <w:top w:val="single" w:color="000000" w:sz="4" w:space="0"/>
              <w:bottom w:val="single" w:color="000000" w:sz="4" w:space="0"/>
            </w:tcBorders>
            <w:tcW w:w="9356" w:type="dxa"/>
            <w:textDirection w:val="lrTb"/>
            <w:noWrap w:val="false"/>
          </w:tcPr>
          <w:p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  <w:lang w:bidi="ar-SA" w:eastAsia="ru-RU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Границы территории объекта культурного наследия утверждены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Приказом Департамента по культуре и туризму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09.09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.2014 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319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/01-09 «Об утверждении границ территорий объектов культурного наследия (памятников истории и культуры) регионального значения, расположенных на территории Томской области» (зарегистрированы в ЕГРН под номером 70:21-8.2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).</w:t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98859" cy="1874498"/>
                      <wp:effectExtent l="0" t="0" r="1905" b="0"/>
                      <wp:docPr id="3" name="Рисунок 5" descr="C:\Users\astafieva\Downloads\Графическое отображение границ (Татарская, 35).jpg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astafieva\Downloads\Графическое отображение границ (Татарская, 35).jp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53642" cy="19111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220.4pt;height:147.6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9344"/>
      </w:tblGrid>
      <w:tr>
        <w:trPr/>
        <w:tc>
          <w:tcPr>
            <w:shd w:val="clear" w:fill="auto" w:color="auto"/>
            <w:tcW w:w="9570" w:type="dxa"/>
            <w:textDirection w:val="lrTb"/>
            <w:noWrap w:val="false"/>
          </w:tcPr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Согласно Приказу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Комитета по охране объектов культурного наследия Томской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области от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30.07.2021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0096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/01-0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«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Об утверждении предмета охраны объекта культурного наследия регионального значения «2-х этажный дом на кирпичном цоколе», 1902 г. (г. Томск, ул. Татарская, 35)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предметом охраны объекта культурного наследия являются: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 Градостроительные характеристики: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1.1. Здание находится в среде деревянной застройки исторического района «Татарская сло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бода». Местоположение здания в строчке застройки квартала, главным восточным фасадом по красной линии улицы Татарской. Формирует строчку застройки улицы, находится в зоне градостроительного расположения объектов культурного наследия регионального значения.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1.2. Здание является частью исторической усадьбы кон. ХIХ - нач. ХХ вв., главное здание в структуре домовладения.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1.3. Габаритные размеры и силуэт здания на дату строительства 1902 г.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1.4. Секторы и направления видовых раскрытий здания при его восприятии с улицы Татарской в строчке застройки улицы и со стороны внутри дворовой территории.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1.5. Историческое ограждение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усадьбы и вид ворот с калитками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(устанавливается по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результатам реставрационных исследований).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2. Объемно-пространственная композиц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ия здания на дату строительства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1902 г. Двухэтажное деревянное здание на кирп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ичном цоколе с верандой-эркером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на столбах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двухэтажной дворовой прис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тройкой (прирубом). Форма плана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основного объема прямоугольная,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вытянутая по оси запад-восток.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Местоположение, габаритные размеры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высотные отметки веранды-эркера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северного фасада и прируба лестничного блока дворового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западного фасада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(устанавливаются по результатам реставрационных исследований).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3. Крыша основного объема 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а дату сохранившихся элементов,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ее конфигурация (вальмовая), габаритные размер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ы и высотные отметки по коньку.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Характер кровельного покрытия – листовой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металл с фальцовкой и окраской.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Местоположение водосточных труб. Кирпичн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ые дымовые трубы. Слуховое окно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западного фасада, его материал (дерево), габари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тные размеры, двухскатная форма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крыши и декор (треугольный фронтон, профильный карниз с резным подзоро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м).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Форма, габаритные размеры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высотные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отметки крыши веранды-эркера 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прирубов (устанавливаются по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результатам реставрационных исследований).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 Композиция и архитектурно-ху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дожественное оформление фасадов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здания на дату строительства 1902 г.: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4.1 Главный восточный фасад решен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в 5 осей окон с композиционным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акцентом в виде треугольного фронтона, ра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сположенного по центральной оси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фасада в уровне крыши (устанавливается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по результатам реставрационных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исследований). Южный фасад фронтальной композиции решен в 8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осей окон.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Боковой северный фасад решен в 8 осей проемов в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уровне второго этажа (7 окон 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дверной проем выхода на веранду-эркер, 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асположенный по 5 оси проемов).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Исторический вид северного фасада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композиционным акцентом в виде веранды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эркера и вид дворового западного фасад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а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прирубами лестничных блоков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(устанавливаются по результатам реставрационных исследований).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4.2 Местоположение, размеры 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форма оконных проемов основного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объема – лучковые.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4.3 Местоположение и габариты основных входов: дворовые вход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ы (на 1-й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 2-й этажи) – прямоугольные дверные пр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оемы для одностворчатых дверей,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расположенные на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западном фасаде здания. Ме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стоположение форма и габаритные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размеры парадного входа (устанавливаются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по результатам реставрационных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исследований).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4.4 Декоративное оформление фаса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дов, включая технику исполнения резного декора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пропильная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резьба растительного и геометрического орнамента,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«глухая» объемная резьба растительного ор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намента и геометрических форм).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Профильный карниз большого выноса с обшивк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ой из профильных досок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 двухъярусным резным подзором, широкий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фриз с фигурными кронштейнами,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богато декорированный резными и пря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моугольными вставками. Пилястры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 накладным декором ажурной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пропильной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и об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ъемной резьбы. Фасадная обшивка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из профильных досок и ее рисунок: ниже окон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первого этажа – горизонтальная,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выше окон второго этажа – вертикальная, в уровн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 оконных проемов – в «елочку»,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междуэтажная часть – чередование вер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тикальной обшивки и в «ёлочку».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Наличники окон деревянные с полукруглой на «плечиках»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формой лобовой доски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их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декор: профильный карниз с поясом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из «сухариков», ажурная резьба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растительного орнамента (в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навершии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, на лобовой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и подоконной досках, на торцах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боковин), фигурные резные колонки на боковинах.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5. Виды отделки фасадной поверхности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здания на дату строительства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1902 г.: фасадная обшивка стен без окраски (тем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ное дерево), элементы фасадного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декора с окрашенной поверхностью.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6. Колористическое решение фасадов на да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ту строительства здания 1902 г.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(устанавливается по результатам реставрационных исследований).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7. Заполнения дверных и оконны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х проемов на дату сохранившихся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элементов, их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материал (дерево), конструкц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ия, характер оформления дверных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полотен (филенчатые), рисунок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расстекловки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оконных рам. Деревянные дверные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коробки, прямоугольные деревянные филе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нчатые двери с профилированными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калевками на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филенках, профильное обрамле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ние проемов. Деревянные оконные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коробки с рамами лучковой формы, про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фильные подоконники, профильное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обрамление проемов. Дверной блок выхода на веранду-эркер – прямоуголь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ный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 двумя узкими оконными проемами по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окам, профильными подоконниками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 профильным обрамлением проема.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8. Пространственно-планировоч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ная структура интерьеров здания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 габаритах капитальных несущих констр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укций стен и перекрытий на дату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строительства 1902 г., включая первоначальны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 габариты дверных проемов всех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помещений здания. Планировка кори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дорная с расположением коридора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 центральной оси здания.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9. Конструктивные элементы здани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я на дату строительства 1902 г.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Фундаменты из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бутового камня, стены цоколя к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ирпичные, стены сруба основного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объема из бревен, рубленных в «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обло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», перекрытия плоские деревянные по балкам.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10. Лестницы, их местоположение и ис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торический вид (устанавливается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 результатам реставрационных исследований).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11. Архитектурно–художественно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 оформление интерьеров на дату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сохранившихся элементов декоративного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оформления: все виды профильных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штукатурных тяг в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оформлении потолков пом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ещений (простые многопрофильные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 с лепным декором цветочного орнамента), все виды потолочных 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озеток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(профильные, с греческим орнаментом,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с лепным декором растительного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орнамента).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12. Инженерно-техническое оборудован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ие здания на дату сохранившихся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элементов: печи (прямые, угловые), в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 п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ечь оштукатуренная и окрашенная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 элементами декора: нижняя часть простая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массивная оформлена профильными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горизонтальными поясами, верхняя часть декор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ирована угловыми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полуколонками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профильным карнизом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фронтоном по центр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 и фигурным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навершием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 Система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вентиляции конструкций здания (продухи на фасадах в уровне 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еждуэтажного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перекрытия).</w:t>
            </w:r>
            <w:r/>
          </w:p>
        </w:tc>
      </w:tr>
    </w:tbl>
    <w:p>
      <w:pPr>
        <w:jc w:val="both"/>
        <w:keepLines/>
        <w:keepNext/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p>
      <w:pPr>
        <w:jc w:val="both"/>
        <w:keepLines/>
        <w:keepNext/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9. Сведения о наличии зон охраны данно</w:t>
      </w:r>
      <w:r>
        <w:rPr>
          <w:rFonts w:ascii="PT Astra Serif" w:hAnsi="PT Astra Serif" w:eastAsia="PT Astra Serif"/>
          <w:sz w:val="24"/>
          <w:szCs w:val="24"/>
        </w:rPr>
        <w:t xml:space="preserve">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shd w:val="clear" w:fill="FFFF00" w:color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shd w:val="clear" w:fill="auto" w:color="auto"/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Охранная зона объектов культурного наследия регионального значения ОЗР 2-62 согласно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новлению Администрации Томской области от 14.06.2012 № 226а «Об утверждении границ зон охраны объектов культурного наследия, расположенных на территории г. Томска, режимов использования земель и градостроительных регламентов в границах данных зон охраны». </w:t>
            </w:r>
            <w:r/>
          </w:p>
        </w:tc>
      </w:tr>
    </w:tbl>
    <w:p>
      <w:pPr>
        <w:rPr>
          <w:rFonts w:ascii="PT Astra Serif" w:hAnsi="PT Astra Serif" w:eastAsia="PT Astra Serif"/>
          <w:sz w:val="20"/>
          <w:szCs w:val="20"/>
        </w:rPr>
      </w:pPr>
      <w:r>
        <w:rPr>
          <w:rFonts w:ascii="PT Astra Serif" w:hAnsi="PT Astra Serif" w:eastAsia="PT Astra Serif"/>
          <w:sz w:val="20"/>
          <w:szCs w:val="20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Всего в паспорте листов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/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/>
    </w:p>
    <w:p>
      <w:pPr>
        <w:rPr>
          <w:rFonts w:ascii="PT Astra Serif" w:hAnsi="PT Astra Serif" w:eastAsia="PT Astra Serif"/>
          <w:sz w:val="12"/>
          <w:szCs w:val="24"/>
        </w:rPr>
      </w:pPr>
      <w:r>
        <w:rPr>
          <w:rFonts w:ascii="PT Astra Serif" w:hAnsi="PT Astra Serif" w:eastAsia="PT Astra Serif"/>
          <w:sz w:val="12"/>
          <w:szCs w:val="24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Председатель Комитета по охране объектов культурного наследия Томской области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Е.В. Перетягина </w:t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должность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подпись</w:t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инициалы, фамилия</w:t>
            </w:r>
            <w:r/>
          </w:p>
        </w:tc>
      </w:tr>
    </w:tbl>
    <w:p>
      <w:pPr>
        <w:rPr>
          <w:rFonts w:ascii="PT Astra Serif" w:hAnsi="PT Astra Serif" w:eastAsia="PT Astra Serif"/>
          <w:sz w:val="20"/>
          <w:szCs w:val="20"/>
        </w:rPr>
      </w:pPr>
      <w:r>
        <w:rPr>
          <w:rFonts w:ascii="PT Astra Serif" w:hAnsi="PT Astra Serif" w:eastAsia="PT Astra Serif"/>
          <w:sz w:val="20"/>
          <w:szCs w:val="20"/>
        </w:rPr>
      </w:r>
      <w:r/>
    </w:p>
    <w:tbl>
      <w:tblPr>
        <w:tblStyle w:val="877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  <w:tbl>
            <w:tblPr>
              <w:tblW w:w="0" w:type="auto"/>
              <w:tblInd w:w="57" w:type="dxa"/>
              <w:tblBorders>
                <w:left w:val="single" w:color="000000" w:sz="4" w:space="0"/>
                <w:top w:val="single" w:color="000000" w:sz="4" w:space="0"/>
                <w:right w:val="single" w:color="000000" w:sz="4" w:space="0"/>
                <w:bottom w:val="single" w:color="000000" w:sz="4" w:space="0"/>
                <w:insideV w:val="single" w:color="000000" w:sz="4" w:space="0"/>
                <w:insideH w:val="single" w:color="000000" w:sz="4" w:space="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1</w:t>
                  </w:r>
                  <w:bookmarkStart w:id="1" w:name="_GoBack"/>
                  <w:r/>
                  <w:bookmarkEnd w:id="1"/>
                  <w:r/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5</w:t>
                  </w:r>
                  <w:r/>
                </w:p>
              </w:tc>
              <w:tc>
                <w:tcPr>
                  <w:shd w:val="clear" w:fill="auto" w:color="auto"/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0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2</w:t>
                  </w:r>
                  <w:r/>
                </w:p>
              </w:tc>
            </w:tr>
          </w:tbl>
          <w:p>
            <w:pPr>
              <w:rPr>
                <w:rFonts w:ascii="PT Astra Serif" w:hAnsi="PT Astra Serif" w:eastAsia="PT Astra Serif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Дата оформления 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паспорта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br/>
              <w:t xml:space="preserve">(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число, месяц, год)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/>
    </w:p>
    <w:sectPr>
      <w:headerReference w:type="default" r:id="rId13"/>
      <w:footnotePr/>
      <w:endnotePr/>
      <w:type w:val="nextPage"/>
      <w:pgSz w:w="11906" w:h="16838" w:orient="portrait"/>
      <w:pgMar w:top="1134" w:right="851" w:bottom="709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04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1006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hAnsi="PT Astra Serif" w:cs="PT Astra Serif" w:eastAsia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hAnsi="PT Astra Serif" w:cs="PT Astra Serif" w:eastAsia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hAnsi="PT Astra Serif" w:cs="PT Astra Serif" w:eastAsia="PT Astra Serif"/>
          <w:sz w:val="20"/>
        </w:rPr>
        <w:br/>
        <w:t xml:space="preserve">№ 73-ФЗ, он является неотъемлемой частью охранного обязательства.</w:t>
      </w:r>
      <w:r/>
    </w:p>
  </w:footnote>
  <w:footnote w:id="3">
    <w:p>
      <w:pPr>
        <w:pStyle w:val="1004"/>
        <w:jc w:val="both"/>
      </w:pPr>
      <w:r>
        <w:rPr>
          <w:rStyle w:val="1006"/>
        </w:rPr>
        <w:footnoteRef/>
      </w:r>
      <w: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  <w:footnote w:id="4">
    <w:p>
      <w:pPr>
        <w:pStyle w:val="1004"/>
      </w:pPr>
      <w:r>
        <w:rPr>
          <w:rStyle w:val="1006"/>
        </w:rPr>
        <w:footnoteRef/>
      </w:r>
      <w:r>
        <w:t xml:space="preserve"> З</w:t>
      </w:r>
      <w:r>
        <w:t xml:space="preserve"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  <w:r/>
    </w:p>
  </w:footnote>
  <w:footnote w:id="5">
    <w:p>
      <w:pPr>
        <w:pStyle w:val="1004"/>
      </w:pPr>
      <w:r>
        <w:rPr>
          <w:rStyle w:val="1006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/>
    </w:p>
  </w:footnote>
  <w:footnote w:id="6">
    <w:p>
      <w:pPr>
        <w:pStyle w:val="1004"/>
      </w:pPr>
      <w:r>
        <w:rPr>
          <w:rStyle w:val="1006"/>
        </w:rPr>
        <w:footnoteRef/>
      </w:r>
      <w: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/>
    </w:p>
  </w:footnote>
  <w:footnote w:id="7">
    <w:p>
      <w:pPr>
        <w:pStyle w:val="1004"/>
      </w:pPr>
      <w:r>
        <w:rPr>
          <w:rStyle w:val="1006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rPr>
        <w:rStyle w:val="1018"/>
        <w:b w:val="false"/>
        <w:sz w:val="24"/>
      </w:rPr>
      <w:framePr w:w="170" w:wrap="around" w:vAnchor="text" w:hAnchor="margin" w:xAlign="center" w:y="1"/>
    </w:pPr>
    <w:r>
      <w:rPr>
        <w:rStyle w:val="1018"/>
        <w:sz w:val="24"/>
      </w:rPr>
      <w:fldChar w:fldCharType="begin"/>
    </w:r>
    <w:r>
      <w:rPr>
        <w:rStyle w:val="1018"/>
        <w:sz w:val="24"/>
      </w:rPr>
      <w:instrText xml:space="preserve">PAGE  </w:instrText>
    </w:r>
    <w:r>
      <w:rPr>
        <w:rStyle w:val="1018"/>
        <w:b w:val="false"/>
        <w:sz w:val="24"/>
      </w:rPr>
      <w:fldChar w:fldCharType="separate"/>
    </w:r>
    <w:r>
      <w:rPr>
        <w:rStyle w:val="1018"/>
        <w:sz w:val="24"/>
      </w:rPr>
      <w:t xml:space="preserve">8</w:t>
    </w:r>
    <w:r>
      <w:rPr>
        <w:rStyle w:val="1018"/>
        <w:b w:val="false"/>
        <w:sz w:val="24"/>
      </w:rPr>
      <w:fldChar w:fldCharType="end"/>
    </w:r>
    <w:r/>
  </w:p>
  <w:p>
    <w:pPr>
      <w:pStyle w:val="87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rPr>
        <w:rStyle w:val="1018"/>
      </w:rPr>
      <w:framePr w:wrap="around" w:vAnchor="text" w:hAnchor="margin" w:xAlign="center" w:y="1"/>
    </w:pPr>
    <w:r>
      <w:rPr>
        <w:rStyle w:val="1018"/>
      </w:rPr>
      <w:fldChar w:fldCharType="begin"/>
    </w:r>
    <w:r>
      <w:rPr>
        <w:rStyle w:val="1018"/>
      </w:rPr>
      <w:instrText xml:space="preserve">PAGE  </w:instrText>
    </w:r>
    <w:r>
      <w:rPr>
        <w:rStyle w:val="1018"/>
      </w:rPr>
      <w:fldChar w:fldCharType="end"/>
    </w:r>
    <w:r/>
  </w:p>
  <w:p>
    <w:pPr>
      <w:pStyle w:val="87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5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73"/>
      <w:spacing w:lineRule="exact" w:line="360" w:after="0" w:before="0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873"/>
      <w:spacing w:lineRule="exact" w:line="360" w:after="0" w:before="0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</w:r>
    <w:r/>
  </w:p>
  <w:p>
    <w:pPr>
      <w:pStyle w:val="873"/>
      <w:spacing w:lineRule="exact" w:line="360" w:after="0" w:before="0"/>
      <w:rPr>
        <w:rFonts w:ascii="PT Astra Serif" w:hAnsi="PT Astra Serif"/>
        <w:sz w:val="28"/>
        <w:szCs w:val="28"/>
        <w:lang w:val="ru-RU"/>
      </w:rPr>
    </w:pPr>
    <w:r>
      <w:rPr>
        <w:rFonts w:ascii="PT Astra Serif" w:hAnsi="PT Astra Serif"/>
        <w:sz w:val="28"/>
        <w:szCs w:val="28"/>
        <w:lang w:val="ru-RU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rPr>
        <w:lang w:val="ru-RU"/>
      </w:rPr>
    </w:pPr>
    <w:r>
      <w:rPr>
        <w:lang w:val="ru-RU"/>
      </w:rPr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separate"/>
    </w:r>
    <w:r>
      <w:rPr>
        <w:rFonts w:ascii="PT Astra Serif" w:hAnsi="PT Astra Serif" w:cs="PT Astra Serif" w:eastAsia="PT Astra Serif"/>
        <w:b w:val="false"/>
        <w:sz w:val="24"/>
        <w:szCs w:val="24"/>
      </w:rPr>
      <w:t xml:space="preserve">11</w: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3.%2"/>
      <w:lvlJc w:val="left"/>
      <w:pPr>
        <w:ind w:left="927" w:hanging="360"/>
        <w:tabs>
          <w:tab w:val="num" w:pos="927" w:leader="none"/>
        </w:tabs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  <w:tabs>
          <w:tab w:val="num" w:pos="1854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  <w:tabs>
          <w:tab w:val="num" w:pos="2421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  <w:tabs>
          <w:tab w:val="num" w:pos="3348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  <w:tabs>
          <w:tab w:val="num" w:pos="391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  <w:tabs>
          <w:tab w:val="num" w:pos="4842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  <w:tabs>
          <w:tab w:val="num" w:pos="5409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  <w:tabs>
          <w:tab w:val="num" w:pos="6336" w:leader="none"/>
        </w:tabs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2.%2."/>
      <w:lvlJc w:val="left"/>
      <w:pPr>
        <w:ind w:left="1440" w:hanging="360"/>
        <w:tabs>
          <w:tab w:val="num" w:pos="1440" w:leader="none"/>
        </w:tabs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num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num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num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num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num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num" w:pos="1044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4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7" w:hanging="825"/>
        <w:tabs>
          <w:tab w:val="num" w:pos="967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9"/>
  </w:num>
  <w:num w:numId="6">
    <w:abstractNumId w:val="10"/>
  </w:num>
  <w:num w:numId="7">
    <w:abstractNumId w:val="8"/>
  </w:num>
  <w:num w:numId="8">
    <w:abstractNumId w:val="5"/>
  </w:num>
  <w:num w:numId="9">
    <w:abstractNumId w:val="3"/>
  </w:num>
  <w:num w:numId="10">
    <w:abstractNumId w:val="7"/>
  </w:num>
  <w:num w:numId="1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21" w:default="1">
    <w:name w:val="Normal"/>
    <w:qFormat/>
  </w:style>
  <w:style w:type="paragraph" w:styleId="822">
    <w:name w:val="Heading 1"/>
    <w:basedOn w:val="821"/>
    <w:next w:val="821"/>
    <w:link w:val="1037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823">
    <w:name w:val="Heading 2"/>
    <w:basedOn w:val="821"/>
    <w:next w:val="821"/>
    <w:link w:val="1035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824">
    <w:name w:val="Heading 3"/>
    <w:link w:val="85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825">
    <w:name w:val="Heading 4"/>
    <w:link w:val="85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826">
    <w:name w:val="Heading 5"/>
    <w:link w:val="85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827">
    <w:name w:val="Heading 6"/>
    <w:link w:val="859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828">
    <w:name w:val="Heading 7"/>
    <w:link w:val="860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29">
    <w:name w:val="Heading 8"/>
    <w:link w:val="861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830">
    <w:name w:val="Heading 9"/>
    <w:link w:val="86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character" w:styleId="834" w:customStyle="1">
    <w:name w:val="Heading 3 Char"/>
    <w:basedOn w:val="831"/>
    <w:uiPriority w:val="9"/>
    <w:rPr>
      <w:rFonts w:ascii="Arial" w:hAnsi="Arial" w:cs="Arial" w:eastAsia="Arial"/>
      <w:sz w:val="30"/>
      <w:szCs w:val="30"/>
    </w:rPr>
  </w:style>
  <w:style w:type="character" w:styleId="835" w:customStyle="1">
    <w:name w:val="Heading 4 Char"/>
    <w:basedOn w:val="831"/>
    <w:uiPriority w:val="9"/>
    <w:rPr>
      <w:rFonts w:ascii="Arial" w:hAnsi="Arial" w:cs="Arial" w:eastAsia="Arial"/>
      <w:b/>
      <w:bCs/>
      <w:sz w:val="26"/>
      <w:szCs w:val="26"/>
    </w:rPr>
  </w:style>
  <w:style w:type="character" w:styleId="836" w:customStyle="1">
    <w:name w:val="Heading 5 Char"/>
    <w:basedOn w:val="831"/>
    <w:uiPriority w:val="9"/>
    <w:rPr>
      <w:rFonts w:ascii="Arial" w:hAnsi="Arial" w:cs="Arial" w:eastAsia="Arial"/>
      <w:b/>
      <w:bCs/>
      <w:sz w:val="24"/>
      <w:szCs w:val="24"/>
    </w:rPr>
  </w:style>
  <w:style w:type="character" w:styleId="837" w:customStyle="1">
    <w:name w:val="Heading 6 Char"/>
    <w:basedOn w:val="831"/>
    <w:uiPriority w:val="9"/>
    <w:rPr>
      <w:rFonts w:ascii="Arial" w:hAnsi="Arial" w:cs="Arial" w:eastAsia="Arial"/>
      <w:b/>
      <w:bCs/>
      <w:sz w:val="22"/>
      <w:szCs w:val="22"/>
    </w:rPr>
  </w:style>
  <w:style w:type="character" w:styleId="838" w:customStyle="1">
    <w:name w:val="Heading 7 Char"/>
    <w:basedOn w:val="83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39" w:customStyle="1">
    <w:name w:val="Heading 8 Char"/>
    <w:basedOn w:val="831"/>
    <w:uiPriority w:val="9"/>
    <w:rPr>
      <w:rFonts w:ascii="Arial" w:hAnsi="Arial" w:cs="Arial" w:eastAsia="Arial"/>
      <w:i/>
      <w:iCs/>
      <w:sz w:val="22"/>
      <w:szCs w:val="22"/>
    </w:rPr>
  </w:style>
  <w:style w:type="character" w:styleId="840" w:customStyle="1">
    <w:name w:val="Heading 9 Char"/>
    <w:basedOn w:val="831"/>
    <w:uiPriority w:val="9"/>
    <w:rPr>
      <w:rFonts w:ascii="Arial" w:hAnsi="Arial" w:cs="Arial" w:eastAsia="Arial"/>
      <w:i/>
      <w:iCs/>
      <w:sz w:val="21"/>
      <w:szCs w:val="21"/>
    </w:rPr>
  </w:style>
  <w:style w:type="character" w:styleId="841" w:customStyle="1">
    <w:name w:val="Title Char"/>
    <w:basedOn w:val="831"/>
    <w:uiPriority w:val="10"/>
    <w:rPr>
      <w:sz w:val="48"/>
      <w:szCs w:val="48"/>
    </w:rPr>
  </w:style>
  <w:style w:type="character" w:styleId="842" w:customStyle="1">
    <w:name w:val="Subtitle Char"/>
    <w:basedOn w:val="831"/>
    <w:uiPriority w:val="11"/>
    <w:rPr>
      <w:sz w:val="24"/>
      <w:szCs w:val="24"/>
    </w:rPr>
  </w:style>
  <w:style w:type="character" w:styleId="843" w:customStyle="1">
    <w:name w:val="Quote Char"/>
    <w:uiPriority w:val="29"/>
    <w:rPr>
      <w:i/>
    </w:rPr>
  </w:style>
  <w:style w:type="character" w:styleId="844" w:customStyle="1">
    <w:name w:val="Intense Quote Char"/>
    <w:uiPriority w:val="30"/>
    <w:rPr>
      <w:i/>
    </w:rPr>
  </w:style>
  <w:style w:type="character" w:styleId="845" w:customStyle="1">
    <w:name w:val="Footer Char"/>
    <w:basedOn w:val="831"/>
    <w:uiPriority w:val="99"/>
  </w:style>
  <w:style w:type="character" w:styleId="846" w:customStyle="1">
    <w:name w:val="Footnote Text Char"/>
    <w:uiPriority w:val="99"/>
    <w:rPr>
      <w:sz w:val="18"/>
    </w:rPr>
  </w:style>
  <w:style w:type="character" w:styleId="847" w:customStyle="1">
    <w:name w:val="Endnote Text Char"/>
    <w:uiPriority w:val="99"/>
    <w:rPr>
      <w:sz w:val="20"/>
    </w:rPr>
  </w:style>
  <w:style w:type="paragraph" w:styleId="848">
    <w:name w:val="Caption"/>
    <w:basedOn w:val="821"/>
    <w:next w:val="821"/>
    <w:rPr>
      <w:b/>
      <w:sz w:val="28"/>
    </w:rPr>
    <w:pPr>
      <w:jc w:val="center"/>
    </w:pPr>
  </w:style>
  <w:style w:type="character" w:styleId="849" w:customStyle="1">
    <w:name w:val="Caption Char"/>
    <w:uiPriority w:val="99"/>
  </w:style>
  <w:style w:type="paragraph" w:styleId="850">
    <w:name w:val="endnote text"/>
    <w:basedOn w:val="821"/>
    <w:link w:val="851"/>
    <w:uiPriority w:val="99"/>
    <w:semiHidden/>
    <w:unhideWhenUsed/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831"/>
    <w:uiPriority w:val="99"/>
    <w:semiHidden/>
    <w:unhideWhenUsed/>
    <w:rPr>
      <w:vertAlign w:val="superscript"/>
    </w:rPr>
  </w:style>
  <w:style w:type="paragraph" w:styleId="853">
    <w:name w:val="table of figures"/>
    <w:basedOn w:val="821"/>
    <w:next w:val="821"/>
    <w:uiPriority w:val="99"/>
    <w:unhideWhenUsed/>
  </w:style>
  <w:style w:type="character" w:styleId="854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855" w:customStyle="1">
    <w:name w:val="Heading 2 Char"/>
    <w:uiPriority w:val="9"/>
    <w:rPr>
      <w:rFonts w:ascii="Arial" w:hAnsi="Arial" w:cs="Arial" w:eastAsia="Arial"/>
      <w:sz w:val="34"/>
    </w:rPr>
  </w:style>
  <w:style w:type="character" w:styleId="856" w:customStyle="1">
    <w:name w:val="Заголовок 3 Знак"/>
    <w:link w:val="824"/>
    <w:uiPriority w:val="9"/>
    <w:rPr>
      <w:rFonts w:ascii="Arial" w:hAnsi="Arial" w:cs="Arial" w:eastAsia="Arial"/>
      <w:sz w:val="30"/>
      <w:szCs w:val="30"/>
    </w:rPr>
  </w:style>
  <w:style w:type="character" w:styleId="857" w:customStyle="1">
    <w:name w:val="Заголовок 4 Знак"/>
    <w:link w:val="825"/>
    <w:uiPriority w:val="9"/>
    <w:rPr>
      <w:rFonts w:ascii="Arial" w:hAnsi="Arial" w:cs="Arial" w:eastAsia="Arial"/>
      <w:b/>
      <w:bCs/>
      <w:sz w:val="26"/>
      <w:szCs w:val="26"/>
    </w:rPr>
  </w:style>
  <w:style w:type="character" w:styleId="858" w:customStyle="1">
    <w:name w:val="Заголовок 5 Знак"/>
    <w:link w:val="826"/>
    <w:uiPriority w:val="9"/>
    <w:rPr>
      <w:rFonts w:ascii="Arial" w:hAnsi="Arial" w:cs="Arial" w:eastAsia="Arial"/>
      <w:b/>
      <w:bCs/>
      <w:sz w:val="24"/>
      <w:szCs w:val="24"/>
    </w:rPr>
  </w:style>
  <w:style w:type="character" w:styleId="859" w:customStyle="1">
    <w:name w:val="Заголовок 6 Знак"/>
    <w:link w:val="827"/>
    <w:uiPriority w:val="9"/>
    <w:rPr>
      <w:rFonts w:ascii="Arial" w:hAnsi="Arial" w:cs="Arial" w:eastAsia="Arial"/>
      <w:b/>
      <w:bCs/>
      <w:sz w:val="22"/>
      <w:szCs w:val="22"/>
    </w:rPr>
  </w:style>
  <w:style w:type="character" w:styleId="860" w:customStyle="1">
    <w:name w:val="Заголовок 7 Знак"/>
    <w:link w:val="82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61" w:customStyle="1">
    <w:name w:val="Заголовок 8 Знак"/>
    <w:link w:val="829"/>
    <w:uiPriority w:val="9"/>
    <w:rPr>
      <w:rFonts w:ascii="Arial" w:hAnsi="Arial" w:cs="Arial" w:eastAsia="Arial"/>
      <w:i/>
      <w:iCs/>
      <w:sz w:val="22"/>
      <w:szCs w:val="22"/>
    </w:rPr>
  </w:style>
  <w:style w:type="character" w:styleId="862" w:customStyle="1">
    <w:name w:val="Заголовок 9 Знак"/>
    <w:link w:val="830"/>
    <w:uiPriority w:val="9"/>
    <w:rPr>
      <w:rFonts w:ascii="Arial" w:hAnsi="Arial" w:cs="Arial" w:eastAsia="Arial"/>
      <w:i/>
      <w:iCs/>
      <w:sz w:val="21"/>
      <w:szCs w:val="21"/>
    </w:rPr>
  </w:style>
  <w:style w:type="paragraph" w:styleId="863">
    <w:name w:val="List Paragraph"/>
    <w:basedOn w:val="821"/>
    <w:rPr>
      <w:sz w:val="20"/>
    </w:rPr>
    <w:pPr>
      <w:contextualSpacing w:val="true"/>
      <w:ind w:left="720"/>
    </w:pPr>
  </w:style>
  <w:style w:type="paragraph" w:styleId="864">
    <w:name w:val="No Spacing"/>
    <w:rPr>
      <w:sz w:val="26"/>
      <w:lang w:bidi="ar-SA" w:eastAsia="ru-RU"/>
    </w:rPr>
    <w:pPr>
      <w:ind w:firstLine="709"/>
    </w:pPr>
  </w:style>
  <w:style w:type="paragraph" w:styleId="865">
    <w:name w:val="Title"/>
    <w:link w:val="86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66" w:customStyle="1">
    <w:name w:val="Название Знак"/>
    <w:link w:val="865"/>
    <w:uiPriority w:val="10"/>
    <w:rPr>
      <w:sz w:val="48"/>
      <w:szCs w:val="48"/>
    </w:rPr>
  </w:style>
  <w:style w:type="paragraph" w:styleId="867">
    <w:name w:val="Subtitle"/>
    <w:link w:val="868"/>
    <w:qFormat/>
    <w:uiPriority w:val="11"/>
    <w:rPr>
      <w:sz w:val="24"/>
      <w:szCs w:val="24"/>
    </w:rPr>
    <w:pPr>
      <w:spacing w:after="200" w:before="200"/>
    </w:pPr>
  </w:style>
  <w:style w:type="character" w:styleId="868" w:customStyle="1">
    <w:name w:val="Подзаголовок Знак"/>
    <w:link w:val="867"/>
    <w:uiPriority w:val="11"/>
    <w:rPr>
      <w:sz w:val="24"/>
      <w:szCs w:val="24"/>
    </w:rPr>
  </w:style>
  <w:style w:type="paragraph" w:styleId="869">
    <w:name w:val="Quote"/>
    <w:link w:val="870"/>
    <w:qFormat/>
    <w:uiPriority w:val="29"/>
    <w:rPr>
      <w:i/>
    </w:rPr>
    <w:pPr>
      <w:ind w:left="720" w:right="720"/>
    </w:pPr>
  </w:style>
  <w:style w:type="character" w:styleId="870" w:customStyle="1">
    <w:name w:val="Цитата 2 Знак"/>
    <w:link w:val="869"/>
    <w:uiPriority w:val="29"/>
    <w:rPr>
      <w:i/>
    </w:rPr>
  </w:style>
  <w:style w:type="paragraph" w:styleId="871">
    <w:name w:val="Intense Quote"/>
    <w:link w:val="872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72" w:customStyle="1">
    <w:name w:val="Выделенная цитата Знак"/>
    <w:link w:val="871"/>
    <w:uiPriority w:val="30"/>
    <w:rPr>
      <w:i/>
    </w:rPr>
  </w:style>
  <w:style w:type="paragraph" w:styleId="873">
    <w:name w:val="Header"/>
    <w:basedOn w:val="821"/>
    <w:link w:val="103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874" w:customStyle="1">
    <w:name w:val="Header Char"/>
    <w:uiPriority w:val="99"/>
  </w:style>
  <w:style w:type="paragraph" w:styleId="875">
    <w:name w:val="Footer"/>
    <w:basedOn w:val="821"/>
    <w:link w:val="876"/>
    <w:pPr>
      <w:tabs>
        <w:tab w:val="center" w:pos="4153" w:leader="none"/>
        <w:tab w:val="right" w:pos="8306" w:leader="none"/>
      </w:tabs>
    </w:pPr>
  </w:style>
  <w:style w:type="character" w:styleId="876" w:customStyle="1">
    <w:name w:val="Нижний колонтитул Знак"/>
    <w:link w:val="875"/>
    <w:uiPriority w:val="99"/>
  </w:style>
  <w:style w:type="table" w:styleId="877">
    <w:name w:val="Table Grid"/>
    <w:basedOn w:val="832"/>
    <w:tblPr/>
  </w:style>
  <w:style w:type="table" w:styleId="878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9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0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2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84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9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9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9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9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9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9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8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5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06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07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08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09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10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11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12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3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4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5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6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7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8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9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0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21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22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23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24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5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6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27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28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29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30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31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32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33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3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3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3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3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3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3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40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94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94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94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94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94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94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947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2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3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4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5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6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7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8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96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97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97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97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97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97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975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7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7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7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97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8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98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982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3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4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5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6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7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8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9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0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1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2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3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4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5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6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997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998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999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000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001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002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003">
    <w:name w:val="Hyperlink"/>
    <w:rPr>
      <w:color w:val="0000FF"/>
      <w:u w:val="single"/>
    </w:rPr>
  </w:style>
  <w:style w:type="paragraph" w:styleId="1004">
    <w:name w:val="footnote text"/>
    <w:link w:val="1005"/>
    <w:uiPriority w:val="99"/>
    <w:semiHidden/>
    <w:unhideWhenUsed/>
    <w:rPr>
      <w:sz w:val="18"/>
    </w:rPr>
    <w:pPr>
      <w:spacing w:after="40"/>
    </w:pPr>
  </w:style>
  <w:style w:type="character" w:styleId="1005" w:customStyle="1">
    <w:name w:val="Текст сноски Знак"/>
    <w:link w:val="1004"/>
    <w:uiPriority w:val="99"/>
    <w:rPr>
      <w:sz w:val="18"/>
    </w:rPr>
  </w:style>
  <w:style w:type="character" w:styleId="1006">
    <w:name w:val="footnote reference"/>
    <w:uiPriority w:val="99"/>
    <w:unhideWhenUsed/>
    <w:rPr>
      <w:vertAlign w:val="superscript"/>
    </w:rPr>
  </w:style>
  <w:style w:type="paragraph" w:styleId="1007">
    <w:name w:val="toc 1"/>
    <w:uiPriority w:val="39"/>
    <w:unhideWhenUsed/>
    <w:pPr>
      <w:spacing w:after="57"/>
    </w:pPr>
  </w:style>
  <w:style w:type="paragraph" w:styleId="1008">
    <w:name w:val="toc 2"/>
    <w:uiPriority w:val="39"/>
    <w:unhideWhenUsed/>
    <w:pPr>
      <w:ind w:left="283"/>
      <w:spacing w:after="57"/>
    </w:pPr>
  </w:style>
  <w:style w:type="paragraph" w:styleId="1009">
    <w:name w:val="toc 3"/>
    <w:uiPriority w:val="39"/>
    <w:unhideWhenUsed/>
    <w:pPr>
      <w:ind w:left="567"/>
      <w:spacing w:after="57"/>
    </w:pPr>
  </w:style>
  <w:style w:type="paragraph" w:styleId="1010">
    <w:name w:val="toc 4"/>
    <w:uiPriority w:val="39"/>
    <w:unhideWhenUsed/>
    <w:pPr>
      <w:ind w:left="850"/>
      <w:spacing w:after="57"/>
    </w:pPr>
  </w:style>
  <w:style w:type="paragraph" w:styleId="1011">
    <w:name w:val="toc 5"/>
    <w:uiPriority w:val="39"/>
    <w:unhideWhenUsed/>
    <w:pPr>
      <w:ind w:left="1134"/>
      <w:spacing w:after="57"/>
    </w:pPr>
  </w:style>
  <w:style w:type="paragraph" w:styleId="1012">
    <w:name w:val="toc 6"/>
    <w:uiPriority w:val="39"/>
    <w:unhideWhenUsed/>
    <w:pPr>
      <w:ind w:left="1417"/>
      <w:spacing w:after="57"/>
    </w:pPr>
  </w:style>
  <w:style w:type="paragraph" w:styleId="1013">
    <w:name w:val="toc 7"/>
    <w:uiPriority w:val="39"/>
    <w:unhideWhenUsed/>
    <w:pPr>
      <w:ind w:left="1701"/>
      <w:spacing w:after="57"/>
    </w:pPr>
  </w:style>
  <w:style w:type="paragraph" w:styleId="1014">
    <w:name w:val="toc 8"/>
    <w:uiPriority w:val="39"/>
    <w:unhideWhenUsed/>
    <w:pPr>
      <w:ind w:left="1984"/>
      <w:spacing w:after="57"/>
    </w:pPr>
  </w:style>
  <w:style w:type="paragraph" w:styleId="1015">
    <w:name w:val="toc 9"/>
    <w:uiPriority w:val="39"/>
    <w:unhideWhenUsed/>
    <w:pPr>
      <w:ind w:left="2268"/>
      <w:spacing w:after="57"/>
    </w:pPr>
  </w:style>
  <w:style w:type="paragraph" w:styleId="1016">
    <w:name w:val="TOC Heading"/>
    <w:uiPriority w:val="39"/>
    <w:unhideWhenUsed/>
  </w:style>
  <w:style w:type="paragraph" w:styleId="1017">
    <w:name w:val="Body Text"/>
    <w:basedOn w:val="821"/>
    <w:next w:val="821"/>
    <w:pPr>
      <w:jc w:val="both"/>
    </w:pPr>
  </w:style>
  <w:style w:type="character" w:styleId="1018">
    <w:name w:val="page number"/>
    <w:basedOn w:val="831"/>
  </w:style>
  <w:style w:type="paragraph" w:styleId="1019">
    <w:name w:val="Body Text 2"/>
    <w:basedOn w:val="821"/>
    <w:pPr>
      <w:ind w:right="5102"/>
      <w:jc w:val="center"/>
      <w:spacing w:before="120"/>
    </w:pPr>
  </w:style>
  <w:style w:type="paragraph" w:styleId="1020" w:customStyle="1">
    <w:name w:val="Обращение"/>
    <w:basedOn w:val="821"/>
    <w:next w:val="821"/>
    <w:rPr>
      <w:b/>
    </w:rPr>
    <w:pPr>
      <w:jc w:val="center"/>
      <w:spacing w:after="120" w:before="240"/>
    </w:pPr>
  </w:style>
  <w:style w:type="paragraph" w:styleId="1021" w:customStyle="1">
    <w:name w:val="Адресные реквизиты"/>
    <w:basedOn w:val="1017"/>
    <w:next w:val="1017"/>
    <w:rPr>
      <w:sz w:val="16"/>
    </w:rPr>
    <w:pPr>
      <w:jc w:val="left"/>
    </w:pPr>
  </w:style>
  <w:style w:type="paragraph" w:styleId="1022" w:customStyle="1">
    <w:name w:val="Адресат"/>
    <w:basedOn w:val="821"/>
    <w:rPr>
      <w:b/>
    </w:rPr>
    <w:pPr>
      <w:spacing w:before="120"/>
    </w:pPr>
  </w:style>
  <w:style w:type="paragraph" w:styleId="1023">
    <w:name w:val="Body Text 3"/>
    <w:basedOn w:val="821"/>
    <w:rPr>
      <w:sz w:val="28"/>
    </w:rPr>
    <w:pPr>
      <w:spacing w:before="120"/>
      <w:tabs>
        <w:tab w:val="left" w:pos="7371" w:leader="none"/>
      </w:tabs>
    </w:pPr>
  </w:style>
  <w:style w:type="table" w:styleId="1024" w:customStyle="1">
    <w:name w:val="Сетка таблицы1"/>
    <w:basedOn w:val="832"/>
    <w:next w:val="877"/>
    <w:rPr>
      <w:rFonts w:ascii="Calibri" w:hAnsi="Calibri"/>
    </w:rPr>
    <w:tblPr/>
  </w:style>
  <w:style w:type="paragraph" w:styleId="1025" w:customStyle="1">
    <w:name w:val="ConsPlusNormal"/>
    <w:rPr>
      <w:sz w:val="24"/>
      <w:szCs w:val="24"/>
      <w:lang w:bidi="ar-SA" w:eastAsia="ru-RU"/>
    </w:rPr>
  </w:style>
  <w:style w:type="character" w:styleId="1026" w:customStyle="1">
    <w:name w:val="Основной текст_"/>
    <w:link w:val="1029"/>
    <w:rPr>
      <w:spacing w:val="-2"/>
      <w:sz w:val="26"/>
      <w:szCs w:val="26"/>
      <w:shd w:val="clear" w:fill="FFFFFF" w:color="auto"/>
    </w:rPr>
  </w:style>
  <w:style w:type="character" w:styleId="1027" w:customStyle="1">
    <w:name w:val="Основной текст (7)_"/>
    <w:link w:val="1030"/>
    <w:rPr>
      <w:b/>
      <w:bCs/>
      <w:spacing w:val="-3"/>
      <w:sz w:val="26"/>
      <w:szCs w:val="26"/>
      <w:shd w:val="clear" w:fill="FFFFFF" w:color="auto"/>
    </w:rPr>
  </w:style>
  <w:style w:type="character" w:styleId="1028" w:customStyle="1">
    <w:name w:val="Основной текст (10)_"/>
    <w:link w:val="1031"/>
    <w:rPr>
      <w:i/>
      <w:iCs/>
      <w:spacing w:val="-4"/>
      <w:shd w:val="clear" w:fill="FFFFFF" w:color="auto"/>
    </w:rPr>
  </w:style>
  <w:style w:type="paragraph" w:styleId="1029" w:customStyle="1">
    <w:name w:val="Основной текст2"/>
    <w:basedOn w:val="821"/>
    <w:link w:val="1026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030" w:customStyle="1">
    <w:name w:val="Основной текст (7)"/>
    <w:basedOn w:val="821"/>
    <w:link w:val="1027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31" w:customStyle="1">
    <w:name w:val="Основной текст (10)"/>
    <w:basedOn w:val="821"/>
    <w:link w:val="1028"/>
    <w:rPr>
      <w:i/>
      <w:iCs/>
      <w:spacing w:val="-4"/>
      <w:sz w:val="20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032">
    <w:name w:val="Normal (Web)"/>
    <w:basedOn w:val="821"/>
    <w:rPr>
      <w:sz w:val="24"/>
      <w:szCs w:val="24"/>
    </w:rPr>
    <w:pPr>
      <w:spacing w:after="100" w:afterAutospacing="1" w:before="100" w:beforeAutospacing="1"/>
    </w:pPr>
  </w:style>
  <w:style w:type="paragraph" w:styleId="1033" w:customStyle="1">
    <w:name w:val="Знак Знак Знак Знак Знак Знак Знак Знак Знак Знак Знак Знак Знак Знак Знак1 Знак Знак Знак Знак"/>
    <w:basedOn w:val="821"/>
    <w:next w:val="823"/>
    <w:rPr>
      <w:sz w:val="24"/>
      <w:lang w:val="en-US"/>
    </w:rPr>
    <w:pPr>
      <w:spacing w:lineRule="exact" w:line="240" w:after="160"/>
    </w:pPr>
  </w:style>
  <w:style w:type="paragraph" w:styleId="1034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035" w:customStyle="1">
    <w:name w:val="Заголовок 2 Знак"/>
    <w:link w:val="823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036" w:customStyle="1">
    <w:name w:val="Исполнитель"/>
    <w:basedOn w:val="821"/>
    <w:rPr>
      <w:sz w:val="20"/>
    </w:rPr>
  </w:style>
  <w:style w:type="character" w:styleId="1037" w:customStyle="1">
    <w:name w:val="Заголовок 1 Знак"/>
    <w:link w:val="822"/>
    <w:rPr>
      <w:rFonts w:ascii="Cambria" w:hAnsi="Cambria"/>
      <w:b/>
      <w:bCs/>
      <w:sz w:val="32"/>
      <w:szCs w:val="32"/>
    </w:rPr>
  </w:style>
  <w:style w:type="paragraph" w:styleId="1038" w:customStyle="1">
    <w:name w:val="Обычный1"/>
    <w:rPr>
      <w:lang w:bidi="ar-SA" w:eastAsia="ru-RU"/>
    </w:rPr>
  </w:style>
  <w:style w:type="character" w:styleId="1039" w:customStyle="1">
    <w:name w:val="Верхний колонтитул Знак"/>
    <w:link w:val="873"/>
    <w:rPr>
      <w:b/>
      <w:caps/>
      <w:sz w:val="28"/>
    </w:rPr>
  </w:style>
  <w:style w:type="paragraph" w:styleId="1040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041" w:customStyle="1">
    <w:name w:val="Основной текст (6)_"/>
    <w:link w:val="1042"/>
    <w:rPr>
      <w:b/>
      <w:bCs/>
      <w:i/>
      <w:iCs/>
      <w:sz w:val="26"/>
      <w:szCs w:val="26"/>
      <w:shd w:val="clear" w:fill="FFFFFF" w:color="auto"/>
    </w:rPr>
  </w:style>
  <w:style w:type="paragraph" w:styleId="1042" w:customStyle="1">
    <w:name w:val="Основной текст (6)"/>
    <w:basedOn w:val="821"/>
    <w:link w:val="1041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043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044">
    <w:name w:val="Balloon Text"/>
    <w:basedOn w:val="821"/>
    <w:link w:val="1045"/>
    <w:rPr>
      <w:rFonts w:ascii="Tahoma" w:hAnsi="Tahoma"/>
      <w:sz w:val="16"/>
      <w:szCs w:val="16"/>
      <w:lang w:val="en-US"/>
    </w:rPr>
  </w:style>
  <w:style w:type="character" w:styleId="1045" w:customStyle="1">
    <w:name w:val="Текст выноски Знак"/>
    <w:link w:val="1044"/>
    <w:rPr>
      <w:rFonts w:ascii="Tahoma" w:hAnsi="Tahoma"/>
      <w:sz w:val="16"/>
      <w:szCs w:val="16"/>
    </w:rPr>
  </w:style>
  <w:style w:type="character" w:styleId="1046" w:customStyle="1">
    <w:name w:val="Font Style21"/>
    <w:basedOn w:val="831"/>
    <w:rPr>
      <w:rFonts w:ascii="Times New Roman" w:hAnsi="Times New Roman"/>
      <w:sz w:val="26"/>
      <w:szCs w:val="26"/>
    </w:rPr>
  </w:style>
  <w:style w:type="character" w:styleId="1047">
    <w:name w:val="Strong"/>
    <w:rPr>
      <w:b/>
    </w:rPr>
  </w:style>
  <w:style w:type="paragraph" w:styleId="1048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49">
    <w:name w:val="Body Text Indent 2"/>
    <w:rPr>
      <w:sz w:val="26"/>
      <w:lang w:val="en-US" w:bidi="ar-SA"/>
    </w:rPr>
    <w:pPr>
      <w:ind w:left="283" w:firstLine="709"/>
      <w:spacing w:lineRule="auto" w:line="480"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50" w:customStyle="1">
    <w:name w:val="ConsPlusNonformat"/>
    <w:rPr>
      <w:rFonts w:ascii="Courier New" w:hAnsi="Courier New" w:cs="Courier New"/>
      <w:sz w:val="20"/>
      <w:szCs w:val="20"/>
      <w:lang w:bidi="ar-SA" w:eastAsia="ru-RU"/>
    </w:rPr>
    <w:pPr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1051" w:customStyle="1">
    <w:name w:val="Сетка таблицы2"/>
    <w:uiPriority w:val="59"/>
    <w:rPr>
      <w:rFonts w:ascii="Calibri" w:hAnsi="Calibri" w:cs="Calibri" w:eastAsia="Calibri"/>
      <w:lang w:bidi="ar-SA" w:eastAsia="ru-RU"/>
    </w:rPr>
    <w:pPr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1052">
    <w:name w:val="Body Text Indent 3"/>
    <w:rPr>
      <w:sz w:val="16"/>
      <w:szCs w:val="16"/>
      <w:lang w:val="en-US" w:bidi="ar-SA"/>
    </w:rPr>
    <w:pPr>
      <w:ind w:left="283" w:firstLine="709"/>
      <w:spacing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1053">
    <w:name w:val="FollowedHyperlink"/>
    <w:basedOn w:val="831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image" Target="media/image2.jpg"/><Relationship Id="rId19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D1D18633-63ED-4439-A9FE-2C98BD3C23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Ярославцева</dc:creator>
  <cp:revision>107</cp:revision>
  <dcterms:created xsi:type="dcterms:W3CDTF">2022-06-06T09:45:00Z</dcterms:created>
  <dcterms:modified xsi:type="dcterms:W3CDTF">2022-12-19T09:59:07Z</dcterms:modified>
</cp:coreProperties>
</file>