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737"/>
              <w:ind w:firstLine="0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29.03.2021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73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737"/>
              <w:ind w:firstLine="0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0032/01-07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  <w:r/>
          </w:p>
        </w:tc>
      </w:tr>
      <w:tr>
        <w:trPr>
          <w:trHeight w:val="266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769"/>
              <w:jc w:val="center"/>
              <w:rPr>
                <w:rFonts w:ascii="PT Astra Serif" w:hAnsi="PT Astra Serif" w:cs="PT Astra Serif" w:eastAsia="PT Astra Serif"/>
                <w:spacing w:val="20"/>
                <w:sz w:val="12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2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12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Об утверждении охранного обязательства собственника или иного законного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владельца объекта культурного наследия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федера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льного значения </w:t>
              <w:br/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  <w:t xml:space="preserve">Дом, в котором в 1910-1912 гг. жил писатель Шишков Вячеслав Яковлевич» («Жилой дом (деревянный)», ХIХ в.)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contextualSpacing w:val="true"/>
        <w:ind w:firstLine="708"/>
        <w:jc w:val="both"/>
        <w:rPr>
          <w:rFonts w:ascii="PT Astra Serif" w:hAnsi="PT Astra Serif" w:cs="PT Astra Serif" w:eastAsia="PT Astra Serif"/>
          <w:sz w:val="12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 w:val="12"/>
          <w:szCs w:val="26"/>
        </w:rPr>
      </w:r>
      <w:r/>
    </w:p>
    <w:p>
      <w:pPr>
        <w:pStyle w:val="736"/>
        <w:contextualSpacing w:val="true"/>
        <w:ind w:firstLine="708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</w:t>
      </w:r>
      <w:r>
        <w:rPr>
          <w:rFonts w:ascii="PT Astra Serif" w:hAnsi="PT Astra Serif" w:cs="PT Astra Serif" w:eastAsia="PT Astra Serif"/>
          <w:szCs w:val="26"/>
        </w:rPr>
        <w:t xml:space="preserve">соответствии со статьей</w:t>
      </w:r>
      <w:r>
        <w:rPr>
          <w:rFonts w:ascii="PT Astra Serif" w:hAnsi="PT Astra Serif" w:cs="PT Astra Serif" w:eastAsia="PT Astra Serif"/>
          <w:szCs w:val="26"/>
        </w:rPr>
        <w:t xml:space="preserve"> 47.6 Федерального закона от 25</w:t>
      </w:r>
      <w:r>
        <w:rPr>
          <w:rFonts w:ascii="PT Astra Serif" w:hAnsi="PT Astra Serif" w:cs="PT Astra Serif" w:eastAsia="PT Astra Serif"/>
          <w:szCs w:val="26"/>
        </w:rPr>
        <w:t xml:space="preserve">.06.</w:t>
      </w:r>
      <w:r>
        <w:rPr>
          <w:rFonts w:ascii="PT Astra Serif" w:hAnsi="PT Astra Serif" w:cs="PT Astra Serif" w:eastAsia="PT Astra Serif"/>
          <w:szCs w:val="26"/>
        </w:rPr>
        <w:t xml:space="preserve">2002 №</w:t>
      </w:r>
      <w:r>
        <w:rPr>
          <w:rFonts w:ascii="PT Astra Serif" w:hAnsi="PT Astra Serif" w:cs="PT Astra Serif" w:eastAsia="PT Astra Serif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 w:cs="PT Astra Serif" w:eastAsia="PT Astra Serif"/>
          <w:szCs w:val="26"/>
        </w:rPr>
        <w:t xml:space="preserve">; </w:t>
      </w:r>
      <w:r>
        <w:rPr>
          <w:rFonts w:ascii="PT Astra Serif" w:hAnsi="PT Astra Serif" w:cs="PT Astra Serif" w:eastAsia="PT Astra Serif"/>
          <w:szCs w:val="26"/>
        </w:rPr>
        <w:t xml:space="preserve">приказом Министерства культуры Российской Федерации от 13.07.2020 № 774 «Об утверждении формы охранного обязател</w:t>
      </w:r>
      <w:r>
        <w:rPr>
          <w:rFonts w:ascii="PT Astra Serif" w:hAnsi="PT Astra Serif" w:cs="PT Astra Serif" w:eastAsia="PT Astra Serif"/>
          <w:szCs w:val="26"/>
        </w:rPr>
        <w:t xml:space="preserve">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утверждения»; </w:t>
      </w:r>
      <w:r>
        <w:rPr>
          <w:rFonts w:ascii="PT Astra Serif" w:hAnsi="PT Astra Serif" w:cs="PT Astra Serif" w:eastAsia="PT Astra Serif"/>
          <w:szCs w:val="26"/>
        </w:rPr>
        <w:t xml:space="preserve">подпунктом б) пункта 8) части 9 главы 2 Положения о Комитете по охране объектов культурного наследия Томской области, утвержденного постановлением</w:t>
      </w:r>
      <w:r>
        <w:rPr>
          <w:rFonts w:ascii="PT Astra Serif" w:hAnsi="PT Astra Serif" w:cs="PT Astra Serif" w:eastAsia="PT Astra Serif"/>
          <w:szCs w:val="26"/>
        </w:rPr>
        <w:t xml:space="preserve"> Губернатора Томской области от </w:t>
      </w:r>
      <w:r>
        <w:rPr>
          <w:rFonts w:ascii="PT Astra Serif" w:hAnsi="PT Astra Serif" w:cs="PT Astra Serif" w:eastAsia="PT Astra Serif"/>
          <w:szCs w:val="26"/>
        </w:rPr>
        <w:t xml:space="preserve">29.04.2016 № 37,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contextualSpacing w:val="true"/>
        <w:ind w:firstLine="708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1. Утвердить охранное обязательство собственника или иного законного владельца объекта </w:t>
      </w:r>
      <w:r>
        <w:rPr>
          <w:rFonts w:ascii="PT Astra Serif" w:hAnsi="PT Astra Serif" w:cs="PT Astra Serif" w:eastAsia="PT Astra Serif"/>
          <w:szCs w:val="26"/>
        </w:rPr>
        <w:t xml:space="preserve">культурного наследия </w:t>
      </w:r>
      <w:r>
        <w:rPr>
          <w:rFonts w:ascii="PT Astra Serif" w:hAnsi="PT Astra Serif" w:cs="PT Astra Serif" w:eastAsia="PT Astra Serif"/>
          <w:szCs w:val="26"/>
        </w:rPr>
        <w:t xml:space="preserve">федера</w:t>
      </w:r>
      <w:r>
        <w:rPr>
          <w:rFonts w:ascii="PT Astra Serif" w:hAnsi="PT Astra Serif" w:cs="PT Astra Serif" w:eastAsia="PT Astra Serif"/>
          <w:szCs w:val="26"/>
        </w:rPr>
        <w:t xml:space="preserve">льного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значения </w:t>
      </w:r>
      <w:r>
        <w:rPr>
          <w:rFonts w:ascii="PT Astra Serif" w:hAnsi="PT Astra Serif" w:cs="PT Astra Serif" w:eastAsia="PT Astra Serif"/>
          <w:szCs w:val="26"/>
          <w:lang w:eastAsia="en-US"/>
        </w:rPr>
        <w:t xml:space="preserve">«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Дом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, в котором в 1910-1912 гг. жил писатель Шишков Вячеслав Яковлевич» («Жилой дом (деревянный)», ХIХ в.),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расположенного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по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адресу: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Томская область,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г. Томск, </w:t>
      </w:r>
      <w:r>
        <w:rPr>
          <w:rFonts w:ascii="PT Astra Serif" w:hAnsi="PT Astra Serif" w:cs="PT Astra Serif" w:eastAsia="PT Astra Serif"/>
          <w:szCs w:val="26"/>
        </w:rPr>
        <w:t xml:space="preserve">Шишкова (улица),</w:t>
      </w:r>
      <w:r>
        <w:rPr>
          <w:rFonts w:ascii="PT Astra Serif" w:hAnsi="PT Astra Serif" w:cs="PT Astra Serif" w:eastAsia="PT Astra Serif"/>
          <w:szCs w:val="26"/>
        </w:rPr>
        <w:t xml:space="preserve"> 10</w:t>
      </w:r>
      <w:r>
        <w:rPr>
          <w:rFonts w:ascii="PT Astra Serif" w:hAnsi="PT Astra Serif"/>
          <w:szCs w:val="26"/>
        </w:rPr>
        <w:t xml:space="preserve">,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согласно приложению к  </w:t>
      </w:r>
      <w:r>
        <w:rPr>
          <w:rFonts w:ascii="PT Astra Serif" w:hAnsi="PT Astra Serif" w:cs="PT Astra Serif" w:eastAsia="PT Astra Serif"/>
          <w:szCs w:val="26"/>
        </w:rPr>
        <w:t xml:space="preserve">настоящему </w:t>
      </w:r>
      <w:r>
        <w:rPr>
          <w:rFonts w:ascii="PT Astra Serif" w:hAnsi="PT Astra Serif" w:cs="PT Astra Serif" w:eastAsia="PT Astra Serif"/>
          <w:szCs w:val="26"/>
        </w:rPr>
        <w:t xml:space="preserve">приказу</w:t>
      </w:r>
      <w:r>
        <w:rPr>
          <w:rFonts w:ascii="PT Astra Serif" w:hAnsi="PT Astra Serif" w:cs="PT Astra Serif" w:eastAsia="PT Astra Serif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Направить копию приказа собственникам или иным законным владельцам объекта культурного наследия не позднее пятнадцати рабочих дней со дня утверждения охранного обязательства.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  <w:t xml:space="preserve">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Признать утратившим силу приказ Комитета по охране объектов </w:t>
      </w:r>
      <w:r>
        <w:rPr>
          <w:rFonts w:ascii="PT Astra Serif" w:hAnsi="PT Astra Serif" w:cs="PT Astra Serif" w:eastAsia="PT Astra Serif"/>
          <w:szCs w:val="26"/>
        </w:rPr>
        <w:t xml:space="preserve">культурного наследия Томской области от 08.12.2016 № 107/01-07 «Об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Дом, в котором в 1910-1912 гг. жил писатель Шишков Вячеслав Яковлевич» («Жилой дом (деревянный)», ХIХ в.)»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.</w:t>
      </w:r>
      <w:r/>
    </w:p>
    <w:p>
      <w:pPr>
        <w:pStyle w:val="754"/>
        <w:ind w:firstLine="709"/>
        <w:jc w:val="both"/>
        <w:tabs>
          <w:tab w:val="left" w:pos="993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4.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исполнением настоящего приказа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tabs>
          <w:tab w:val="left" w:pos="76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767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767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Ю.С.Матвеева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720" w:footer="567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УТВЕРЖДЕНО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приказом Комитета по охране объектов культурного наследия Томской области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от  29.03.2021    №  0032/01-07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5670"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59"/>
        <w:jc w:val="center"/>
        <w:spacing w:lineRule="auto" w:line="240"/>
        <w:shd w:val="clear" w:color="auto" w:fill="auto"/>
        <w:rPr>
          <w:rFonts w:ascii="PT Astra Serif" w:hAnsi="PT Astra Serif" w:cs="PT Astra Serif" w:eastAsia="PT Astra Serif"/>
          <w:b/>
          <w:color w:val="000000"/>
        </w:rPr>
      </w:pPr>
      <w:r>
        <w:rPr>
          <w:rFonts w:ascii="PT Astra Serif" w:hAnsi="PT Astra Serif" w:cs="PT Astra Serif" w:eastAsia="PT Astra Serif"/>
          <w:b/>
          <w:color w:val="000000"/>
          <w:lang w:bidi="ru-RU"/>
        </w:rPr>
      </w:r>
      <w:r>
        <w:rPr>
          <w:b/>
        </w:rPr>
      </w:r>
      <w:r/>
    </w:p>
    <w:p>
      <w:pPr>
        <w:pStyle w:val="759"/>
        <w:jc w:val="center"/>
        <w:spacing w:lineRule="auto" w:line="240"/>
        <w:shd w:val="clear" w:color="auto" w:fill="auto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  <w:color w:val="000000"/>
          <w:lang w:bidi="ru-RU"/>
        </w:rPr>
        <w:t xml:space="preserve">ОХРАННОЕ ОБЯЗАТЕЛЬСТВО</w:t>
        <w:br/>
        <w:t xml:space="preserve">СОБСТВЕННИКА ИЛИ ИНОГО ЗАКОННОГО ВЛАДЕЛЬЦА</w:t>
        <w:br/>
        <w:t xml:space="preserve">ОБЪЕКТА КУЛЬТУРНОГО НАСЛЕДИЯ,</w:t>
      </w:r>
      <w:r>
        <w:rPr>
          <w:rFonts w:ascii="PT Astra Serif" w:hAnsi="PT Astra Serif" w:cs="PT Astra Serif" w:eastAsia="PT Astra Serif"/>
          <w:b/>
          <w:color w:val="000000"/>
          <w:lang w:bidi="ru-RU"/>
        </w:rPr>
        <w:br/>
        <w:t xml:space="preserve"> включенного в единый государственный реестр</w:t>
        <w:br/>
      </w:r>
      <w:r>
        <w:rPr>
          <w:rFonts w:ascii="PT Astra Serif" w:hAnsi="PT Astra Serif" w:cs="PT Astra Serif" w:eastAsia="PT Astra Serif"/>
          <w:b/>
          <w:color w:val="000000"/>
          <w:lang w:bidi="ru-RU"/>
        </w:rPr>
        <w:t xml:space="preserve">объектов культурного наследия (памятников истории и культуры)</w:t>
        <w:br/>
      </w:r>
      <w:r>
        <w:rPr>
          <w:rFonts w:ascii="PT Astra Serif" w:hAnsi="PT Astra Serif" w:cs="PT Astra Serif" w:eastAsia="PT Astra Serif"/>
          <w:b/>
          <w:color w:val="000000"/>
          <w:lang w:bidi="ru-RU"/>
        </w:rPr>
        <w:t xml:space="preserve"> народов Российской Федерации</w:t>
      </w:r>
      <w:r>
        <w:rPr>
          <w:b/>
        </w:rPr>
      </w:r>
      <w:r/>
    </w:p>
    <w:p>
      <w:pPr>
        <w:pStyle w:val="758"/>
        <w:jc w:val="center"/>
        <w:spacing w:lineRule="auto" w:line="240" w:after="0"/>
        <w:shd w:val="clear" w:color="auto" w:fill="auto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</w:r>
      <w:r>
        <w:rPr>
          <w:b/>
        </w:rPr>
      </w:r>
      <w:r/>
    </w:p>
    <w:p>
      <w:pPr>
        <w:pStyle w:val="758"/>
        <w:jc w:val="center"/>
        <w:spacing w:lineRule="auto" w:line="240" w:after="0"/>
        <w:shd w:val="clear" w:color="auto" w:fill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50"/>
        <w:gridCol w:w="9071"/>
        <w:gridCol w:w="251"/>
      </w:tblGrid>
      <w:tr>
        <w:trPr>
          <w:trHeight w:val="125"/>
        </w:trPr>
        <w:tc>
          <w:tcPr>
            <w:tcBorders>
              <w:right w:val="single" w:color="000000" w:sz="4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58"/>
              <w:jc w:val="center"/>
              <w:spacing w:lineRule="auto" w:line="240" w:after="0"/>
              <w:shd w:val="clear" w:color="auto" w:fill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«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071" w:type="dxa"/>
            <w:vAlign w:val="top"/>
            <w:textDirection w:val="lrTb"/>
            <w:noWrap w:val="false"/>
          </w:tcPr>
          <w:p>
            <w:pPr>
              <w:pStyle w:val="758"/>
              <w:ind w:left="-60" w:right="-61"/>
              <w:jc w:val="center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Cs w:val="26"/>
              </w:rPr>
              <w:t xml:space="preserve">Дом, в котором</w:t>
            </w:r>
            <w:r>
              <w:rPr>
                <w:rFonts w:ascii="PT Astra Serif" w:hAnsi="PT Astra Serif" w:cs="PT Astra Serif" w:eastAsia="PT Astra Serif"/>
                <w:b/>
                <w:color w:val="000000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/>
                <w:color w:val="000000"/>
                <w:szCs w:val="26"/>
              </w:rPr>
              <w:t xml:space="preserve">в 1910-1912 гг. жил писатель Шишков Вячеслав Яковлевич (Жилой дом (деревянный), ХIХ в.)</w:t>
            </w: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51" w:type="dxa"/>
            <w:vAlign w:val="top"/>
            <w:textDirection w:val="lrTb"/>
            <w:noWrap w:val="false"/>
          </w:tcPr>
          <w:p>
            <w:pPr>
              <w:pStyle w:val="758"/>
              <w:jc w:val="center"/>
              <w:spacing w:lineRule="auto" w:line="240" w:after="0"/>
              <w:shd w:val="clear" w:color="auto" w:fill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0"/>
        <w:ind w:firstLine="0"/>
        <w:spacing w:lineRule="exact" w:line="240" w:after="0" w:before="0"/>
        <w:shd w:val="clear" w:color="auto" w:fill="auto"/>
        <w:rPr>
          <w:rFonts w:ascii="PT Astra Serif" w:hAnsi="PT Astra Serif" w:cs="PT Astra Serif" w:eastAsia="PT Astra Serif"/>
          <w:i w:val="false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lang w:bidi="ru-RU"/>
        </w:rPr>
        <w:t xml:space="preserve">наименование объекта культурного наследия, включенного в единый государс</w:t>
      </w:r>
      <w:r>
        <w:rPr>
          <w:rFonts w:ascii="PT Astra Serif" w:hAnsi="PT Astra Serif" w:cs="PT Astra Serif" w:eastAsia="PT Astra Serif"/>
          <w:i w:val="false"/>
          <w:color w:val="000000"/>
          <w:lang w:bidi="ru-RU"/>
        </w:rPr>
        <w:t xml:space="preserve">твенный реестр объектов культурного наследия (памятников истории и культуры) народов Российской Федерации, в соответствии с данными единого государственного реестра объектов культурного наследия (памятников истории и</w:t>
        <w:br/>
        <w:t xml:space="preserve">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bidi="ru-RU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758"/>
        <w:jc w:val="left"/>
        <w:spacing w:lineRule="auto" w:line="240" w:after="0"/>
        <w:shd w:val="clear" w:color="auto" w:fill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8510" w:type="dxa"/>
        <w:jc w:val="center"/>
        <w:tblInd w:w="-1936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9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trHeight w:val="563"/>
        </w:trPr>
        <w:tc>
          <w:tcPr>
            <w:tcW w:w="569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/>
          </w:p>
        </w:tc>
        <w:tc>
          <w:tcPr>
            <w:tcW w:w="565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5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73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6</w:t>
            </w:r>
            <w:r/>
          </w:p>
        </w:tc>
      </w:tr>
    </w:tbl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  <w:lang w:bidi="ru-RU"/>
        </w:rPr>
      </w:r>
      <w:r>
        <w:rPr>
          <w:rFonts w:ascii="PT Astra Serif" w:hAnsi="PT Astra Serif" w:cs="PT Astra Serif" w:eastAsia="PT Astra Serif"/>
          <w:i w:val="false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реестра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0"/>
          <w:szCs w:val="26"/>
          <w:lang w:bidi="ru-RU"/>
        </w:rPr>
        <w:t xml:space="preserve">)</w:t>
      </w:r>
      <w:r>
        <w:rPr>
          <w:sz w:val="20"/>
        </w:rPr>
      </w:r>
      <w:r/>
    </w:p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700"/>
        <w:jc w:val="both"/>
        <w:widowControl w:val="off"/>
        <w:rPr>
          <w:rFonts w:ascii="PT Astra Serif" w:hAnsi="PT Astra Serif" w:cs="PT Astra Serif" w:eastAsia="PT Astra Serif"/>
          <w:bCs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Отметка о наличии или отсутствии паспорта объ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Style w:val="725"/>
          <w:rFonts w:ascii="PT Astra Serif" w:hAnsi="PT Astra Serif" w:cs="PT Astra Serif" w:eastAsia="PT Astra Serif"/>
          <w:color w:val="000000"/>
          <w:szCs w:val="26"/>
          <w:lang w:bidi="ru-RU"/>
        </w:rPr>
        <w:footnoteReference w:id="1"/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: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firstLine="700"/>
        <w:jc w:val="both"/>
        <w:widowControl w:val="off"/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tbl>
      <w:tblPr>
        <w:tblW w:w="9356" w:type="dxa"/>
        <w:tblInd w:w="108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rPr/>
        <w:tc>
          <w:tcPr>
            <w:tcBorders>
              <w:right w:val="single" w:color="000000" w:sz="4" w:space="0"/>
            </w:tcBorders>
            <w:tcW w:w="38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имеется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val="en-US" w:bidi="ru-RU"/>
              </w:rPr>
              <w:t xml:space="preserve">V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702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отсутствует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4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</w:tr>
    </w:tbl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  <w:iCs/>
          <w:color w:val="000000"/>
          <w:sz w:val="20"/>
        </w:rPr>
      </w:r>
      <w:r/>
    </w:p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</w:rPr>
      </w:r>
      <w:r/>
    </w:p>
    <w:p>
      <w:pPr>
        <w:pStyle w:val="736"/>
        <w:ind w:firstLine="708"/>
        <w:jc w:val="both"/>
        <w:widowControl w:val="off"/>
        <w:rPr>
          <w:rFonts w:ascii="PT Astra Serif" w:hAnsi="PT Astra Serif" w:cs="PT Astra Serif" w:eastAsia="PT Astra Serif"/>
          <w:bCs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При отсутствии паспорта объекта культурного наследия в охранное обязательство вносятся: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1. Сведения об объекте культурного наследия</w:t>
      </w:r>
      <w:r>
        <w:rPr>
          <w:b/>
        </w:rPr>
      </w:r>
      <w:r/>
    </w:p>
    <w:p>
      <w:pPr>
        <w:pStyle w:val="736"/>
        <w:ind w:left="36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36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 наименовании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1069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времени возникновения или дате создания объекта культурного наследия, датах основных изменений (перестроек) данного </w:t>
        <w:br/>
        <w:t xml:space="preserve">объекта и (или) датах связанных с ним исторических событий: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категории историко-культурного значения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16"/>
        <w:gridCol w:w="776"/>
        <w:gridCol w:w="2268"/>
        <w:gridCol w:w="850"/>
        <w:gridCol w:w="2268"/>
        <w:gridCol w:w="850"/>
        <w:gridCol w:w="2128"/>
      </w:tblGrid>
      <w:tr>
        <w:trPr>
          <w:trHeight w:val="650"/>
        </w:trPr>
        <w:tc>
          <w:tcPr>
            <w:tcBorders>
              <w:right w:val="single" w:color="000000" w:sz="4" w:space="0"/>
            </w:tcBorders>
            <w:tcW w:w="21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lef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федерального значения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регионального значения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муниципального значения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</w:tr>
    </w:tbl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1.4.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виде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984"/>
        <w:gridCol w:w="850"/>
        <w:gridCol w:w="2126"/>
        <w:gridCol w:w="850"/>
        <w:gridCol w:w="3545"/>
      </w:tblGrid>
      <w:tr>
        <w:trPr>
          <w:trHeight w:val="642"/>
        </w:trPr>
        <w:tc>
          <w:tcPr>
            <w:tcBorders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lef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памятник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545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ансамбль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</w:tr>
    </w:tbl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  <w:iCs/>
          <w:color w:val="000000"/>
          <w:sz w:val="20"/>
        </w:rPr>
      </w:r>
      <w:r/>
    </w:p>
    <w:p>
      <w:pPr>
        <w:pStyle w:val="736"/>
        <w:ind w:left="0" w:right="0"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1.5.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Номер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1.6.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местонахождении объекта культурного наследия (адрес объекта или, при его отсутствии, описание местоположения объекта):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(субъект Российской Федерации)</w:t>
      </w:r>
      <w:r>
        <w:rPr>
          <w:rFonts w:ascii="PT Astra Serif" w:hAnsi="PT Astra Serif" w:cs="PT Astra Serif" w:eastAsia="PT Astra Serif"/>
          <w:iCs/>
          <w:color w:val="000000"/>
          <w:sz w:val="20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firstLine="0"/>
        <w:jc w:val="center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(населенный пункт)</w:t>
      </w:r>
      <w:r>
        <w:rPr>
          <w:rFonts w:ascii="PT Astra Serif" w:hAnsi="PT Astra Serif" w:cs="PT Astra Serif" w:eastAsia="PT Astra Serif"/>
          <w:color w:val="000000"/>
          <w:sz w:val="20"/>
        </w:rPr>
      </w:r>
      <w:r/>
    </w:p>
    <w:p>
      <w:pPr>
        <w:pStyle w:val="736"/>
        <w:ind w:firstLine="0"/>
        <w:jc w:val="center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</w:r>
      <w:r>
        <w:rPr>
          <w:rFonts w:ascii="PT Astra Serif" w:hAnsi="PT Astra Serif" w:cs="PT Astra Serif" w:eastAsia="PT Astra Serif"/>
          <w:color w:val="000000"/>
          <w:sz w:val="20"/>
          <w:lang w:bidi="ru-RU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960"/>
        </w:trPr>
        <w:tc>
          <w:tcPr>
            <w:tcBorders>
              <w:right w:val="single" w:color="000000" w:sz="4" w:space="0"/>
            </w:tcBorders>
            <w:tcW w:w="675" w:type="dxa"/>
            <w:vAlign w:val="top"/>
            <w:vMerge w:val="restart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ул.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274" w:type="dxa"/>
            <w:vAlign w:val="top"/>
            <w:vMerge w:val="restart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д.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корп. и (или) стр.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60"/>
        <w:gridCol w:w="4886"/>
        <w:gridCol w:w="216"/>
      </w:tblGrid>
      <w:tr>
        <w:trPr>
          <w:cantSplit/>
          <w:trHeight w:val="354"/>
        </w:trPr>
        <w:tc>
          <w:tcPr>
            <w:tcBorders>
              <w:right w:val="single" w:color="000000" w:sz="4" w:space="0"/>
            </w:tcBorders>
            <w:tcW w:w="436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кадастровый номер (при наличии):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2" w:type="dxa"/>
            <w:vAlign w:val="top"/>
            <w:textDirection w:val="lrTb"/>
            <w:noWrap w:val="false"/>
          </w:tcPr>
          <w:p>
            <w:r/>
            <w:r/>
          </w:p>
        </w:tc>
      </w:tr>
    </w:tbl>
    <w:p>
      <w:pPr>
        <w:pStyle w:val="736"/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right="-1"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val="en-US" w:bidi="ru-RU"/>
        </w:rPr>
      </w: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(описание местоположения)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right="-1"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1.7.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 границах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территории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1.8.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Описание предмета охраны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1.9.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Фотографическое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(иное графическое) изображение объекта культурного наследия (на момент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1.10.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 наличии зон охраны объекта культурного наследия с указанием номера и даты принятия органом государственной власти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акта об утверждении указанных зон либо информация о расположении данног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в границах зон охраны иного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Style w:val="59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rPr/>
        <w:tc>
          <w:tcPr>
            <w:tcW w:w="567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№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Наименование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Адрес объекта или местоположение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Границы территории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Предмет охраны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Зоны охраны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</w:tr>
      <w:tr>
        <w:trPr/>
        <w:tc>
          <w:tcPr>
            <w:tcW w:w="567" w:type="dxa"/>
            <w:textDirection w:val="lrTb"/>
            <w:noWrap w:val="false"/>
          </w:tcPr>
          <w:p>
            <w:pPr>
              <w:pStyle w:val="736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736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736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36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736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36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</w:tr>
    </w:tbl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требованиях к осуществлению деятельности в границах территории объекта культурного наследия,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 особом режиме исп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ол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ьзования земельного участка, в 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ой Федерации» (далее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– Закон № 73-ФЗ):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iCs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Иные сведения, предусмотренные Законом № 73-ФЗ: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left="360" w:right="0" w:firstLine="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</w:rPr>
        <w:t xml:space="preserve">Раздел 2. Требования к сохранению объекта культурного наследия</w:t>
      </w:r>
      <w:r>
        <w:rPr>
          <w:rFonts w:ascii="PT Astra Serif" w:hAnsi="PT Astra Serif" w:cs="PT Astra Serif" w:eastAsia="PT Astra Serif"/>
          <w:b/>
          <w:color w:val="000000"/>
          <w:szCs w:val="26"/>
        </w:rPr>
      </w:r>
      <w:r/>
    </w:p>
    <w:p>
      <w:pPr>
        <w:pStyle w:val="736"/>
        <w:ind w:left="0" w:right="0" w:firstLine="0"/>
        <w:jc w:val="left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FFFFFF" w:themeColor="background1"/>
          <w:sz w:val="16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соответствии с пунктом 1 статьи 47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Состав (перечень) и сроки (периодичность)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охраны объектов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, определенным пунктом 7 статьи 47.6 Закона № 73-ФЗ (далее - соответствующи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й орган охраны) культурного наследия (в соответствии со статьями 9, 9.1, 9.2, 9.3 Закона № 73-ФЗ) с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20" w:firstLine="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3. Требования к содержанию и использованию объекта </w:t>
        <w:br/>
        <w:t xml:space="preserve">культурного наследия</w:t>
      </w:r>
      <w:r>
        <w:rPr>
          <w:rFonts w:ascii="PT Astra Serif" w:hAnsi="PT Astra Serif" w:cs="PT Astra Serif" w:eastAsia="PT Astra Serif"/>
          <w:bCs/>
          <w:szCs w:val="26"/>
        </w:rPr>
      </w:r>
      <w:r/>
    </w:p>
    <w:p>
      <w:pPr>
        <w:pStyle w:val="736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соответствии с пунктом 1 статьи 47.3 Закона № 73-ФЗ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при содержании и использовании объекта культурного наследия, включенного в реестр,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выявленного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данного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праве, обязаны: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1) о</w:t>
      </w:r>
      <w:r>
        <w:rPr>
          <w:rFonts w:ascii="PT Astra Serif" w:hAnsi="PT Astra Serif" w:cs="PT Astra Serif" w:eastAsia="PT Astra Serif"/>
          <w:color w:val="000000"/>
          <w:szCs w:val="26"/>
          <w:highlight w:val="white"/>
          <w:lang w:bidi="ru-RU"/>
        </w:rPr>
        <w:t xml:space="preserve">существля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  <w:color w:val="000000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3) не проводить работы,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изменяющие облик, объемно-планировочные и 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4)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 обеспечивать сохранность и неизменность облика выявленного объекта культурного наследия;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5) соблюдать установленные статьей 5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или его части, в границах которых располагается объект археологического наследия;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6) не использовать объект культурного наследия (за исключением оборудованных с учетом требований противопожарной безопасности объектов культурного наследия, предназначенных либо предназначавшихся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под объекты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под объекты производства и лаборатории, связанные с неблагоприятным для объекта культурного наследия температурно-влажностным режимом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 применением химически активных веществ;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36"/>
        <w:jc w:val="both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7) незамедлительно извещать соответствующий орган охраны объектов культурного наследия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обо всех известных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ему повреждениях, авариях или об иных обстоятельствах, причинивших вред объекту культурного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 безотлагательно принимать меры по предотвращению дальнейшего разрушения, в том числе проводить противоаварийные работы в порядке, установленном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для проведения работ по сохранению объекта культурного наследия;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right="-1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8)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не допускать ухудшения состояния те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рритории объекта культурного наследия, включенного в реестр, поддерживать территорию объекта культурного наследия в благоустроенном состоянии.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соответствии с пунктом 2 статьи 47.3 Закона № 73-ФЗ соб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случае обнаружения при проведении работ на земельном участке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границах территории объект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а культурного наследия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осуществляет действия, предусмотренные подпунктом 2 пункта 3 статьи 47.2 Закона № 73-ФЗ.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случае если содержание или использование 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К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видам хозяйственной д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еятельности с использованием объекта культурного наследия, либо к видам хозяйственной деятельности, оказывающим воздействие на указанный объект,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том числе ограничение хозяйственной деятельности: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К использованию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объекта культурного наследия при осуществлении хозяйственной деятельности, предусматривающие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том числе ограничение технических и иных параметров воздействия на объект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36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>
        <w:rPr>
          <w:rFonts w:ascii="PT Astra Serif" w:hAnsi="PT Astra Serif" w:cs="PT Astra Serif" w:eastAsia="PT Astra Serif"/>
          <w:color w:val="000000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К благоустройству в границах территории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3.5.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Лица,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указанные в пункте 11 статьи 47.6 Закона № 73-ФЗ, обязаны осуществлять финансирование мероприятий, обеспечивающих выполнение требований по содержанию и использованию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bCs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4. Требования к обеспечению доступа граждан Российской </w:t>
        <w:br/>
        <w:t xml:space="preserve">Федерации, иностранных граждан и лиц без гражданства </w:t>
        <w:br/>
        <w:t xml:space="preserve">к объекту культурного наследия</w:t>
      </w:r>
      <w:r>
        <w:rPr>
          <w:rFonts w:ascii="PT Astra Serif" w:hAnsi="PT Astra Serif" w:cs="PT Astra Serif" w:eastAsia="PT Astra Serif"/>
          <w:b/>
          <w:color w:val="000000"/>
          <w:szCs w:val="26"/>
          <w:lang w:bidi="ru-RU"/>
        </w:rPr>
      </w:r>
      <w:r/>
    </w:p>
    <w:p>
      <w:pPr>
        <w:pStyle w:val="736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4.1.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навливаются статьей 47.4 Закона №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73-ФЗ с уч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ет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  <w:r/>
    </w:p>
    <w:p>
      <w:pPr>
        <w:pStyle w:val="736"/>
        <w:ind w:left="0" w:right="0" w:firstLine="283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4.2.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Лица, указан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 объекту культурного наследия. </w:t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</w:rPr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5. Требования к размещению наружной рекламы </w:t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на объектах культурного наследия, их территориях</w:t>
      </w:r>
      <w:r>
        <w:rPr>
          <w:rFonts w:ascii="PT Astra Serif" w:hAnsi="PT Astra Serif" w:cs="PT Astra Serif" w:eastAsia="PT Astra Serif"/>
          <w:b/>
          <w:color w:val="000000"/>
          <w:szCs w:val="26"/>
        </w:rPr>
        <w:t xml:space="preserve"> в случае, если их размещение допускается в соответствии с законодательством Российской Федерации</w:t>
      </w:r>
      <w:r>
        <w:rPr>
          <w:rFonts w:ascii="PT Astra Serif" w:hAnsi="PT Astra Serif" w:cs="PT Astra Serif" w:eastAsia="PT Astra Serif"/>
          <w:b/>
          <w:color w:val="000000"/>
          <w:szCs w:val="26"/>
        </w:rPr>
      </w:r>
      <w:r/>
    </w:p>
    <w:p>
      <w:pPr>
        <w:pStyle w:val="736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5.1.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Требования к распространению на объектах культурного наследия, </w:t>
        <w:br/>
        <w:t xml:space="preserve">их территориях наружной рекламы устанавливаются в соответствии со статьей </w:t>
        <w:br/>
        <w:t xml:space="preserve">35.1 Закона № 73-ФЗ: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объектах культурного наследия, включенных в реестр, а также на их территориях не допускается распространение наружной рекламы, за исключением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 зрелищно-развлекательных меропр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условии, если такому упоминанию отведено не более чем десять процентов рекламной площади (пространства)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36"/>
        <w:ind w:firstLine="0"/>
        <w:jc w:val="center"/>
        <w:widowControl w:val="off"/>
        <w:rPr>
          <w:rFonts w:ascii="PT Astra Serif" w:hAnsi="PT Astra Serif" w:cs="PT Astra Serif" w:eastAsia="PT Astra Serif"/>
          <w:b/>
          <w:szCs w:val="26"/>
        </w:rPr>
        <w:outlineLvl w:val="2"/>
      </w:pPr>
      <w:r>
        <w:rPr>
          <w:rFonts w:ascii="PT Astra Serif" w:hAnsi="PT Astra Serif" w:cs="PT Astra Serif" w:eastAsia="PT Astra Serif"/>
          <w:b/>
          <w:color w:val="000000"/>
          <w:szCs w:val="26"/>
        </w:rPr>
      </w:r>
      <w:r>
        <w:rPr>
          <w:rFonts w:ascii="PT Astra Serif" w:hAnsi="PT Astra Serif" w:cs="PT Astra Serif" w:eastAsia="PT Astra Serif"/>
          <w:b/>
        </w:rPr>
      </w:r>
      <w:bookmarkStart w:id="0" w:name="bookmark2"/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6. Требования к установке информационных надписей и </w:t>
        <w:br/>
        <w:t xml:space="preserve">обозначений на объект культурного наследия</w:t>
      </w:r>
      <w:bookmarkEnd w:id="0"/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6.1.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 объектах культурного наследия должны быть установлены надписи и обозначения, содержащие информацию об объекте культурного наследия, в порядке, определенном пунктом 2 статьи 27 Закона № 73-ФЗ.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6.2.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об информационной надписи и обозначениях на объекте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не установлена</w:t>
            </w:r>
            <w:r/>
          </w:p>
        </w:tc>
      </w:tr>
    </w:tbl>
    <w:p>
      <w:pPr>
        <w:pStyle w:val="736"/>
        <w:ind w:firstLine="283"/>
        <w:jc w:val="both"/>
        <w:spacing w:lineRule="auto" w:line="240" w:after="0" w:before="0"/>
        <w:shd w:val="clear" w:color="auto" w:fill="FFFF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36"/>
        <w:ind w:firstLine="283"/>
        <w:jc w:val="both"/>
        <w:spacing w:lineRule="auto" w:line="240" w:after="0" w:before="0"/>
        <w:shd w:val="clear" w:color="auto" w:fill="FFFFFF"/>
        <w:tabs>
          <w:tab w:val="left" w:pos="1074" w:leader="none"/>
        </w:tabs>
        <w:rPr>
          <w:rFonts w:ascii=" PT Astra Serif" w:hAnsi=" PT Astra Serif" w:cs=" PT Astra Serif" w:eastAsia=" PT Astra Serif"/>
          <w:color w:val="000000"/>
          <w:sz w:val="26"/>
          <w:szCs w:val="2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 PT Astra Serif" w:hAnsi=" PT Astra Serif" w:cs=" PT Astra Serif" w:eastAsia=" PT Astra Serif"/>
          <w:color w:val="000000"/>
          <w:spacing w:val="0"/>
          <w:position w:val="0"/>
          <w:sz w:val="26"/>
        </w:rPr>
        <w:t xml:space="preserve">6.3. Требования к установке информационных надписей и обозначений на объекте культурного наследия:</w:t>
      </w:r>
      <w:r>
        <w:rPr>
          <w:rFonts w:ascii=" PT Astra Serif" w:hAnsi=" PT Astra Serif" w:cs=" PT Astra Serif" w:eastAsia=" PT Astra Serif"/>
          <w:color w:val="000000"/>
          <w:sz w:val="26"/>
          <w:szCs w:val="26"/>
        </w:rPr>
      </w:r>
      <w:r/>
    </w:p>
    <w:p>
      <w:pPr>
        <w:pStyle w:val="736"/>
        <w:ind w:firstLine="0"/>
        <w:jc w:val="both"/>
        <w:spacing w:lineRule="auto" w:line="240" w:after="0" w:before="0"/>
        <w:shd w:val="clear" w:color="auto" w:fill="FFFFFF"/>
        <w:tabs>
          <w:tab w:val="left" w:pos="1074" w:leader="none"/>
        </w:tabs>
        <w:rPr>
          <w:rFonts w:ascii=" PT Astra Serif" w:hAnsi=" PT Astra Serif" w:cs=" PT Astra Serif" w:eastAsia=" PT Astra Serif"/>
          <w:color w:val="000000"/>
          <w:sz w:val="1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 PT Astra Serif" w:hAnsi=" PT Astra Serif" w:cs=" PT Astra Serif" w:eastAsia=" PT Astra Serif"/>
          <w:color w:val="000000"/>
          <w:sz w:val="12"/>
        </w:rPr>
      </w:r>
      <w:r>
        <w:rPr>
          <w:rFonts w:ascii=" PT Astra Serif" w:hAnsi=" PT Astra Serif" w:cs=" PT Astra Serif" w:eastAsia=" PT Astra Serif"/>
          <w:color w:val="000000"/>
          <w:sz w:val="12"/>
        </w:rPr>
      </w:r>
      <w:r/>
    </w:p>
    <w:tbl>
      <w:tblPr>
        <w:tblW w:w="9356" w:type="dxa"/>
        <w:tblInd w:w="108" w:type="dxa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826"/>
        <w:gridCol w:w="4265"/>
        <w:gridCol w:w="4266"/>
        <w:gridCol w:w="4266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26" w:type="dxa"/>
            <w:textDirection w:val="lrTb"/>
            <w:noWrap w:val="false"/>
          </w:tcPr>
          <w:p>
            <w:pPr>
              <w:pStyle w:val="782"/>
              <w:contextualSpacing w:val="true"/>
              <w:ind w:firstLine="0"/>
              <w:jc w:val="center"/>
              <w:spacing w:lineRule="auto" w:line="240" w:after="0" w:before="0"/>
              <w:shd w:val="clear" w:color="auto" w:fill="FFFFFF"/>
              <w:rPr>
                <w:rFonts w:ascii=" PT Astra Serif" w:hAnsi=" PT Astra Serif" w:cs=" PT Astra Serif" w:eastAsia=" PT Astra Serif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№</w:t>
            </w:r>
            <w:r>
              <w:rPr>
                <w:rFonts w:ascii=" PT Astra Serif" w:hAnsi=" PT Astra Serif" w:cs=" PT Astra Serif" w:eastAsia=" PT Astra Serif"/>
              </w:rPr>
            </w:r>
            <w:r/>
          </w:p>
          <w:p>
            <w:pPr>
              <w:pStyle w:val="782"/>
              <w:contextualSpacing w:val="true"/>
              <w:ind w:firstLine="0"/>
              <w:jc w:val="center"/>
              <w:spacing w:lineRule="auto" w:line="240" w:after="0" w:before="0"/>
              <w:shd w:val="clear" w:color="auto" w:fill="FFFFFF"/>
              <w:rPr>
                <w:rFonts w:ascii=" PT Astra Serif" w:hAnsi=" PT Astra Serif" w:cs=" PT Astra Serif" w:eastAsia=" PT Astra Serif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п/п</w:t>
            </w:r>
            <w:r>
              <w:rPr>
                <w:rFonts w:ascii=" PT Astra Serif" w:hAnsi=" PT Astra Serif" w:cs=" PT Astra Serif" w:eastAsia=" 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65" w:type="dxa"/>
            <w:textDirection w:val="lrTb"/>
            <w:noWrap w:val="false"/>
          </w:tcPr>
          <w:p>
            <w:pPr>
              <w:pStyle w:val="782"/>
              <w:contextualSpacing w:val="true"/>
              <w:ind w:firstLine="0"/>
              <w:jc w:val="center"/>
              <w:spacing w:lineRule="auto" w:line="240" w:after="0" w:before="0"/>
              <w:shd w:val="clear" w:color="auto" w:fill="FFFFFF"/>
              <w:rPr>
                <w:rFonts w:ascii=" PT Astra Serif" w:hAnsi=" PT Astra Serif" w:cs=" PT Astra Serif" w:eastAsia=" PT Astra Serif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Состав (перечень) </w:t>
            </w:r>
            <w:r>
              <w:rPr>
                <w:rFonts w:ascii=" PT Astra Serif" w:hAnsi=" PT Astra Serif" w:cs=" PT Astra Serif" w:eastAsia=" PT Astra Serif"/>
              </w:rPr>
            </w:r>
            <w:r/>
          </w:p>
          <w:p>
            <w:pPr>
              <w:pStyle w:val="782"/>
              <w:contextualSpacing w:val="true"/>
              <w:ind w:firstLine="0"/>
              <w:jc w:val="center"/>
              <w:spacing w:lineRule="auto" w:line="240" w:after="0" w:before="0"/>
              <w:shd w:val="clear" w:color="auto" w:fill="FFFFFF"/>
              <w:rPr>
                <w:rFonts w:ascii=" PT Astra Serif" w:hAnsi=" PT Astra Serif" w:cs=" PT Astra Serif" w:eastAsia=" PT Astra Serif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видов работ</w:t>
            </w:r>
            <w:r>
              <w:rPr>
                <w:rFonts w:ascii=" PT Astra Serif" w:hAnsi=" PT Astra Serif" w:cs=" PT Astra Serif" w:eastAsia=" 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66" w:type="dxa"/>
            <w:textDirection w:val="lrTb"/>
            <w:noWrap w:val="false"/>
          </w:tcPr>
          <w:p>
            <w:pPr>
              <w:pStyle w:val="782"/>
              <w:contextualSpacing w:val="true"/>
              <w:ind w:firstLine="0"/>
              <w:jc w:val="center"/>
              <w:spacing w:lineRule="auto" w:line="240" w:after="0" w:before="0"/>
              <w:shd w:val="clear" w:color="auto" w:fill="FFFFFF"/>
              <w:rPr>
                <w:rFonts w:ascii=" PT Astra Serif" w:hAnsi=" PT Astra Serif" w:cs=" PT Astra Serif" w:eastAsia=" PT Astra Serif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Сроки (периодичность) проведения работ</w:t>
            </w:r>
            <w:r>
              <w:rPr>
                <w:rFonts w:ascii=" PT Astra Serif" w:hAnsi=" PT Astra Serif" w:cs=" PT Astra Serif" w:eastAsia=" 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66" w:type="dxa"/>
            <w:textDirection w:val="lrTb"/>
            <w:noWrap w:val="false"/>
          </w:tcPr>
          <w:p>
            <w:pPr>
              <w:pStyle w:val="782"/>
              <w:ind w:firstLine="0"/>
              <w:jc w:val="center"/>
              <w:spacing w:lineRule="auto" w:line="240" w:after="0" w:before="0"/>
              <w:shd w:val="clear" w:color="auto" w:fill="FFFFFF"/>
              <w:rPr>
                <w:rFonts w:ascii=" PT Astra Serif" w:hAnsi=" PT Astra Serif" w:cs=" PT Astra Serif" w:eastAsia=" PT Astra Serif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Примечание</w:t>
            </w:r>
            <w:r>
              <w:rPr>
                <w:rFonts w:ascii=" PT Astra Serif" w:hAnsi=" PT Astra Serif" w:cs=" PT Astra Serif" w:eastAsia=" PT Astra Serif"/>
              </w:rPr>
            </w:r>
            <w:r/>
          </w:p>
        </w:tc>
      </w:tr>
      <w:tr>
        <w:trPr>
          <w:trHeight w:val="299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26" w:type="dxa"/>
            <w:vMerge w:val="restart"/>
            <w:textDirection w:val="lrTb"/>
            <w:noWrap w:val="false"/>
          </w:tcPr>
          <w:p>
            <w:pPr>
              <w:pStyle w:val="782"/>
              <w:contextualSpacing w:val="true"/>
              <w:ind w:firstLine="0"/>
              <w:jc w:val="center"/>
              <w:spacing w:lineRule="auto" w:line="240" w:after="0" w:before="0"/>
              <w:shd w:val="clear" w:color="auto" w:fill="FFFFFF"/>
              <w:rPr>
                <w:rFonts w:ascii=" PT Astra Serif" w:hAnsi=" PT Astra Serif" w:cs=" PT Astra Serif" w:eastAsia=" PT Astra Serif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 PT Astra Serif" w:hAnsi=" PT Astra Serif" w:cs=" PT Astra Serif" w:eastAsia=" PT Astra Serif"/>
                <w:color w:val="000000"/>
                <w:spacing w:val="0"/>
                <w:position w:val="0"/>
                <w:sz w:val="24"/>
              </w:rPr>
              <w:t xml:space="preserve">1</w:t>
            </w:r>
            <w:r>
              <w:rPr>
                <w:rFonts w:ascii=" PT Astra Serif" w:hAnsi=" PT Astra Serif" w:cs=" PT Astra Serif" w:eastAsia=" 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65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 установленном порядке обеспечить установку информационной надписи на фасаде </w:t>
            </w:r>
            <w:r>
              <w:rPr>
                <w:rFonts w:ascii="PT Astra Serif" w:hAnsi="PT Astra Serif"/>
                <w:sz w:val="24"/>
                <w:szCs w:val="26"/>
              </w:rPr>
              <w:t xml:space="preserve">Объекта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66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 течение 9 месяцев со дня утверждения охранного обязательства Комитетом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66" w:type="dxa"/>
            <w:textDirection w:val="lrTb"/>
            <w:noWrap w:val="false"/>
          </w:tcPr>
          <w:p>
            <w:pPr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  <w:t xml:space="preserve">1. Акт технического состояния от 10.02.2021</w:t>
            </w:r>
            <w:r>
              <w:rPr>
                <w:sz w:val="24"/>
              </w:rPr>
            </w:r>
            <w:r/>
          </w:p>
          <w:p>
            <w:pPr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sz w:val="24"/>
              </w:rPr>
            </w:r>
            <w:r/>
          </w:p>
        </w:tc>
      </w:tr>
    </w:tbl>
    <w:p>
      <w:pPr>
        <w:pStyle w:val="736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left="20" w:firstLine="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7. </w:t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Дополнительные требования в отношении </w:t>
        <w:br/>
        <w:t xml:space="preserve">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ноября 2015 г. № 2834 «Об утверждении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Необходимость проведения работ по консервации и реставрации объекта культурного наследия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36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в соответствии с пунктом 6 статьи 45 Закона № 73-ФЗ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right="-1" w:firstLine="0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right="-1" w:firstLine="0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Приложение: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numPr>
          <w:ilvl w:val="0"/>
          <w:numId w:val="52"/>
        </w:num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Состав (перечень) и сроки (периодичность) работ по сохранению объекта культурного наследия;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numPr>
          <w:ilvl w:val="0"/>
          <w:numId w:val="52"/>
        </w:num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наследия;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numPr>
          <w:ilvl w:val="0"/>
          <w:numId w:val="52"/>
        </w:num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Паспорт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left="709" w:right="-1" w:firstLine="0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shd w:val="nil" w:color="auto" w:fill="FFFFFF"/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PT Astra Serif" w:hAnsi="PT Astra Serif" w:cs="PT Astra Serif" w:eastAsia="PT Astra Serif"/>
          <w:color w:val="000000"/>
          <w:szCs w:val="26"/>
        </w:rPr>
        <w:br w:type="page"/>
      </w:r>
      <w:r/>
    </w:p>
    <w:p>
      <w:pPr>
        <w:pStyle w:val="736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26"/>
        </w:rPr>
      </w:pPr>
      <w:r>
        <w:rPr>
          <w:rFonts w:ascii="PT Astra Serif" w:hAnsi="PT Astra Serif" w:cs="PT Astra Serif" w:eastAsia="PT Astra Serif"/>
          <w:color w:val="000000"/>
          <w:sz w:val="22"/>
          <w:szCs w:val="26"/>
        </w:rPr>
      </w:r>
      <w:r>
        <w:rPr>
          <w:rFonts w:ascii="PT Astra Serif" w:hAnsi="PT Astra Serif" w:cs="PT Astra Serif" w:eastAsia="PT Astra Serif"/>
          <w:color w:val="000000"/>
          <w:sz w:val="22"/>
          <w:szCs w:val="26"/>
        </w:rPr>
        <w:t xml:space="preserve">Приложение № 1 </w:t>
      </w:r>
      <w:r>
        <w:rPr>
          <w:rFonts w:ascii="PT Astra Serif" w:hAnsi="PT Astra Serif" w:cs="PT Astra Serif" w:eastAsia="PT Astra Serif"/>
          <w:color w:val="000000"/>
          <w:sz w:val="22"/>
          <w:szCs w:val="26"/>
        </w:rPr>
      </w:r>
      <w:r/>
    </w:p>
    <w:p>
      <w:pPr>
        <w:pStyle w:val="736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26"/>
        </w:rPr>
      </w:pPr>
      <w:r>
        <w:rPr>
          <w:rFonts w:ascii="PT Astra Serif" w:hAnsi="PT Astra Serif" w:cs="PT Astra Serif" w:eastAsia="PT Astra Serif"/>
          <w:color w:val="000000"/>
          <w:sz w:val="22"/>
          <w:szCs w:val="26"/>
        </w:rPr>
        <w:t xml:space="preserve">к охранному обязательству</w:t>
      </w:r>
      <w:r>
        <w:rPr>
          <w:rFonts w:ascii="PT Astra Serif" w:hAnsi="PT Astra Serif" w:cs="PT Astra Serif" w:eastAsia="PT Astra Serif"/>
          <w:color w:val="000000"/>
          <w:sz w:val="22"/>
          <w:szCs w:val="26"/>
        </w:rPr>
      </w:r>
      <w:r/>
    </w:p>
    <w:p>
      <w:pPr>
        <w:pStyle w:val="736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6"/>
        </w:rPr>
      </w:pPr>
      <w:r>
        <w:rPr>
          <w:rFonts w:ascii="PT Astra Serif" w:hAnsi="PT Astra Serif" w:cs="PT Astra Serif" w:eastAsia="PT Astra Serif"/>
          <w:color w:val="000000"/>
          <w:sz w:val="24"/>
          <w:szCs w:val="26"/>
        </w:rPr>
      </w:r>
      <w:r>
        <w:rPr>
          <w:rFonts w:ascii="PT Astra Serif" w:hAnsi="PT Astra Serif" w:cs="PT Astra Serif" w:eastAsia="PT Astra Serif"/>
          <w:color w:val="000000"/>
          <w:sz w:val="24"/>
          <w:szCs w:val="26"/>
        </w:rPr>
      </w:r>
      <w:r/>
    </w:p>
    <w:p>
      <w:pPr>
        <w:ind w:firstLine="0"/>
        <w:jc w:val="center"/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b w:val="false"/>
          <w:color w:val="000000"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  <w:t xml:space="preserve">Состав (перечень) и сроки (периодичность) работ по сохранению объекта культурного наследия</w:t>
      </w:r>
      <w:r/>
    </w:p>
    <w:p>
      <w:pPr>
        <w:pStyle w:val="787"/>
        <w:jc w:val="left"/>
        <w:rPr>
          <w:rFonts w:ascii="PT Astra Serif" w:hAnsi="PT Astra Serif" w:cs="Times New Roman"/>
          <w:b w:val="false"/>
          <w:sz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</w:r>
      <w:r>
        <w:rPr>
          <w:b w:val="false"/>
          <w:sz w:val="26"/>
        </w:rPr>
      </w:r>
      <w:r/>
    </w:p>
    <w:tbl>
      <w:tblPr>
        <w:tblW w:w="9356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4265"/>
        <w:gridCol w:w="4266"/>
        <w:gridCol w:w="4266"/>
      </w:tblGrid>
      <w:tr>
        <w:trPr/>
        <w:tc>
          <w:tcPr>
            <w:tcW w:w="826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№</w:t>
            </w:r>
            <w:r>
              <w:rPr>
                <w:sz w:val="24"/>
              </w:rPr>
            </w:r>
            <w:r/>
          </w:p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п/п</w:t>
            </w:r>
            <w:r>
              <w:rPr>
                <w:sz w:val="24"/>
              </w:rPr>
            </w:r>
            <w:r/>
          </w:p>
        </w:tc>
        <w:tc>
          <w:tcPr>
            <w:tcW w:w="4265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Состав (перечень) </w:t>
            </w:r>
            <w:r>
              <w:rPr>
                <w:sz w:val="24"/>
              </w:rPr>
            </w:r>
            <w:r/>
          </w:p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видов работ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Сроки (периодичность) проведения работ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</w:rPr>
              <w:t xml:space="preserve">Примечание</w:t>
            </w:r>
            <w:r>
              <w:rPr>
                <w:rStyle w:val="725"/>
                <w:rFonts w:ascii="PT Astra Serif" w:hAnsi="PT Astra Serif"/>
                <w:b w:val="false"/>
                <w:sz w:val="24"/>
              </w:rPr>
              <w:footnoteReference w:id="2"/>
            </w:r>
            <w:r>
              <w:rPr>
                <w:sz w:val="24"/>
              </w:rPr>
            </w:r>
            <w:r/>
          </w:p>
        </w:tc>
      </w:tr>
      <w:tr>
        <w:trPr/>
        <w:tc>
          <w:tcPr>
            <w:tcW w:w="826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1</w:t>
            </w:r>
            <w:r>
              <w:rPr>
                <w:sz w:val="24"/>
              </w:rPr>
            </w:r>
            <w:r/>
          </w:p>
        </w:tc>
        <w:tc>
          <w:tcPr>
            <w:tcW w:w="4265" w:type="dxa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Выполнить проектную документацию на проведение работ по сохранению Объекта (ремонт помещений Объекта, окон и подоконников, ремонт фасадов)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 течение </w:t>
            </w:r>
            <w:r>
              <w:rPr>
                <w:rFonts w:ascii="PT Astra Serif" w:hAnsi="PT Astra Serif"/>
                <w:sz w:val="24"/>
                <w:szCs w:val="26"/>
              </w:rPr>
              <w:t xml:space="preserve">36</w:t>
            </w:r>
            <w:r>
              <w:rPr>
                <w:rFonts w:ascii="PT Astra Serif" w:hAnsi="PT Astra Serif"/>
                <w:sz w:val="24"/>
                <w:szCs w:val="26"/>
              </w:rPr>
              <w:t xml:space="preserve"> месяцев </w:t>
            </w:r>
            <w:r>
              <w:rPr>
                <w:sz w:val="24"/>
              </w:rPr>
            </w:r>
            <w:r/>
          </w:p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со дня утверждения охранного обязательства Комитетом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restart"/>
            <w:textDirection w:val="lrTb"/>
            <w:noWrap w:val="false"/>
          </w:tcPr>
          <w:p>
            <w:pPr>
              <w:ind w:left="0" w:firstLine="0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</w:rPr>
              <w:t xml:space="preserve">1. Акт технического состояния от 10.02.2021;</w:t>
            </w:r>
            <w:r>
              <w:rPr>
                <w:sz w:val="24"/>
              </w:rPr>
            </w:r>
            <w:r/>
          </w:p>
          <w:p>
            <w:pPr>
              <w:ind w:left="0" w:firstLine="0"/>
              <w:rPr>
                <w:rFonts w:ascii="PT Astra Serif" w:hAnsi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/>
                <w:b w:val="false"/>
                <w:sz w:val="24"/>
              </w:rPr>
              <w:t xml:space="preserve">2. Письмо </w:t>
            </w:r>
            <w:r>
              <w:rPr>
                <w:rFonts w:ascii="PT Astra Serif" w:hAnsi="PT Astra Serif"/>
                <w:b w:val="false"/>
                <w:sz w:val="24"/>
              </w:rPr>
              <w:t xml:space="preserve">Комитета по охране объектов культурного наследия Томской области от 24.02.2021 № 48-01-0437</w:t>
            </w:r>
            <w:r>
              <w:rPr>
                <w:rFonts w:ascii="PT Astra Serif" w:hAnsi="PT Astra Serif"/>
                <w:b w:val="false"/>
                <w:sz w:val="24"/>
              </w:rPr>
            </w:r>
            <w:r/>
          </w:p>
          <w:p>
            <w:r/>
            <w:r/>
          </w:p>
          <w:p>
            <w:r/>
            <w:r/>
          </w:p>
        </w:tc>
      </w:tr>
      <w:tr>
        <w:trPr>
          <w:trHeight w:val="299"/>
        </w:trPr>
        <w:tc>
          <w:tcPr>
            <w:tcW w:w="826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2</w:t>
            </w:r>
            <w:r>
              <w:rPr>
                <w:sz w:val="24"/>
              </w:rPr>
            </w:r>
            <w:r/>
          </w:p>
        </w:tc>
        <w:tc>
          <w:tcPr>
            <w:tcW w:w="4265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 соответствии с выполненной и согласованной в установленном порядке проектной документацией выполнить работы по сохранению Объекта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 течение 60 месяцев</w:t>
            </w:r>
            <w:r>
              <w:rPr>
                <w:sz w:val="24"/>
              </w:rPr>
            </w:r>
            <w:r/>
          </w:p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со дня утверждения охранного обязательства Комитетом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>
          <w:trHeight w:val="299"/>
        </w:trPr>
        <w:tc>
          <w:tcPr>
            <w:tcW w:w="826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3</w:t>
            </w:r>
            <w:r>
              <w:rPr>
                <w:sz w:val="24"/>
              </w:rPr>
            </w:r>
            <w:r/>
          </w:p>
        </w:tc>
        <w:tc>
          <w:tcPr>
            <w:tcW w:w="4265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Своевременно производить </w:t>
            </w:r>
            <w:r>
              <w:rPr>
                <w:rFonts w:ascii="PT Astra Serif" w:hAnsi="PT Astra Serif"/>
                <w:sz w:val="24"/>
                <w:szCs w:val="26"/>
              </w:rPr>
              <w:t xml:space="preserve">поддерживающий ремонт помещений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 течение эксплуатации</w:t>
            </w:r>
            <w:r>
              <w:rPr>
                <w:sz w:val="24"/>
              </w:rPr>
            </w:r>
            <w:r/>
          </w:p>
        </w:tc>
        <w:tc>
          <w:tcPr>
            <w:tcW w:w="4266" w:type="dxa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pStyle w:val="736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36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shd w:val="nil" w:color="auto" w:fill="FFFFFF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  <w:br w:type="page"/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pStyle w:val="736"/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12"/>
        </w:rPr>
      </w:pPr>
      <w:r>
        <w:rPr>
          <w:rFonts w:ascii="PT Astra Serif" w:hAnsi="PT Astra Serif" w:cs="PT Astra Serif" w:eastAsia="PT Astra Serif"/>
          <w:color w:val="000000"/>
          <w:sz w:val="22"/>
          <w:szCs w:val="12"/>
        </w:rPr>
        <w:t xml:space="preserve">Приложение № 2</w:t>
      </w:r>
      <w:r>
        <w:rPr>
          <w:rFonts w:ascii="PT Astra Serif" w:hAnsi="PT Astra Serif" w:cs="PT Astra Serif" w:eastAsia="PT Astra Serif"/>
          <w:color w:val="000000"/>
          <w:sz w:val="22"/>
          <w:szCs w:val="12"/>
        </w:rPr>
      </w:r>
      <w:r/>
    </w:p>
    <w:p>
      <w:pPr>
        <w:pStyle w:val="736"/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12"/>
        </w:rPr>
      </w:pPr>
      <w:r>
        <w:rPr>
          <w:rFonts w:ascii="PT Astra Serif" w:hAnsi="PT Astra Serif" w:cs="PT Astra Serif" w:eastAsia="PT Astra Serif"/>
          <w:color w:val="000000"/>
          <w:sz w:val="22"/>
          <w:szCs w:val="12"/>
        </w:rPr>
        <w:t xml:space="preserve">к охранному обязательству</w:t>
      </w: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/>
    </w:p>
    <w:p>
      <w:pPr>
        <w:pStyle w:val="736"/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12"/>
        </w:rPr>
      </w:pPr>
      <w:r>
        <w:rPr>
          <w:rFonts w:ascii="PT Astra Serif" w:hAnsi="PT Astra Serif" w:cs="PT Astra Serif" w:eastAsia="PT Astra Serif"/>
          <w:color w:val="000000"/>
          <w:sz w:val="22"/>
          <w:szCs w:val="12"/>
        </w:rPr>
      </w:r>
      <w:r>
        <w:rPr>
          <w:rFonts w:ascii="PT Astra Serif" w:hAnsi="PT Astra Serif" w:cs="PT Astra Serif" w:eastAsia="PT Astra Serif"/>
          <w:color w:val="000000"/>
          <w:sz w:val="22"/>
          <w:szCs w:val="12"/>
        </w:rPr>
      </w:r>
      <w:r/>
    </w:p>
    <w:p>
      <w:pPr>
        <w:pStyle w:val="736"/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Требовани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36"/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36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725"/>
          <w:rFonts w:ascii="PT Astra Serif" w:hAnsi="PT Astra Serif" w:cs="PT Astra Serif" w:eastAsia="PT Astra Serif"/>
          <w:color w:val="000000"/>
          <w:sz w:val="26"/>
          <w:szCs w:val="12"/>
        </w:rPr>
        <w:footnoteReference w:id="3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36"/>
        <w:ind w:right="-1" w:firstLine="708"/>
        <w:jc w:val="lef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596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386"/>
        <w:gridCol w:w="3084"/>
      </w:tblGrid>
      <w:tr>
        <w:trPr/>
        <w:tc>
          <w:tcPr>
            <w:tcW w:w="1100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  <w:tc>
          <w:tcPr>
            <w:tcW w:w="5386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Условия доступа к объекту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  <w:tc>
          <w:tcPr>
            <w:tcW w:w="3084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725"/>
                <w:rFonts w:ascii="PT Astra Serif" w:hAnsi="PT Astra Serif" w:cs="PT Astra Serif" w:eastAsia="PT Astra Serif"/>
                <w:color w:val="000000"/>
                <w:sz w:val="24"/>
              </w:rPr>
              <w:footnoteReference w:id="4"/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</w:tr>
      <w:tr>
        <w:trPr/>
        <w:tc>
          <w:tcPr>
            <w:tcW w:w="1100" w:type="dxa"/>
            <w:vMerge w:val="restart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  <w:tc>
          <w:tcPr>
            <w:tcW w:w="538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Обеспечить доступ гражд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анам Российской Федерации, иностранным гражданам и лицам без гражданства во внутренние помещения объекта культурного наследия и к объекту культурного наследия в соответствии с внутренним распорядком, установленным собственником или иным законным владельцем</w:t>
            </w:r>
            <w:r>
              <w:rPr>
                <w:sz w:val="24"/>
              </w:rPr>
            </w:r>
            <w:r/>
          </w:p>
        </w:tc>
        <w:tc>
          <w:tcPr>
            <w:tcW w:w="3084" w:type="dxa"/>
            <w:vMerge w:val="restart"/>
            <w:textDirection w:val="lrTb"/>
            <w:noWrap w:val="false"/>
          </w:tcPr>
          <w:p>
            <w:pPr>
              <w:ind w:left="0" w:firstLine="0"/>
              <w:rPr>
                <w:rFonts w:ascii="PT Astra Serif" w:hAnsi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/>
                <w:b w:val="false"/>
                <w:sz w:val="24"/>
              </w:rPr>
            </w:r>
            <w:r>
              <w:rPr>
                <w:rFonts w:ascii="PT Astra Serif" w:hAnsi="PT Astra Serif"/>
                <w:b w:val="false"/>
                <w:sz w:val="24"/>
              </w:rPr>
              <w:t xml:space="preserve">Письмо </w:t>
            </w:r>
            <w:r>
              <w:rPr>
                <w:rFonts w:ascii="PT Astra Serif" w:hAnsi="PT Astra Serif"/>
                <w:b w:val="false"/>
                <w:sz w:val="24"/>
              </w:rPr>
              <w:t xml:space="preserve">Комитета по охране объектов культурного наследия Томской области от 24.02.2021 № 48-01-0437</w:t>
            </w:r>
            <w:r>
              <w:rPr>
                <w:rFonts w:ascii="PT Astra Serif" w:hAnsi="PT Astra Serif"/>
                <w:b w:val="false"/>
                <w:sz w:val="24"/>
              </w:rPr>
            </w:r>
            <w:r/>
          </w:p>
        </w:tc>
      </w:tr>
    </w:tbl>
    <w:p>
      <w:pPr>
        <w:pStyle w:val="736"/>
        <w:ind w:right="-1" w:firstLine="708"/>
        <w:jc w:val="lef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36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2. Условия доступа к объекту культ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урного наследия религиозного назначения с 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725"/>
          <w:rFonts w:ascii="PT Astra Serif" w:hAnsi="PT Astra Serif" w:cs="PT Astra Serif" w:eastAsia="PT Astra Serif"/>
          <w:color w:val="000000"/>
          <w:sz w:val="26"/>
          <w:szCs w:val="12"/>
        </w:rPr>
        <w:footnoteReference w:id="5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36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596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669"/>
        <w:gridCol w:w="2801"/>
      </w:tblGrid>
      <w:tr>
        <w:trPr/>
        <w:tc>
          <w:tcPr>
            <w:tcW w:w="1100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Условия доступа к объекту культурного наследия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801" w:type="dxa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725"/>
                <w:rFonts w:ascii="PT Astra Serif" w:hAnsi="PT Astra Serif" w:cs="PT Astra Serif" w:eastAsia="PT Astra Serif"/>
                <w:color w:val="000000"/>
                <w:sz w:val="24"/>
              </w:rPr>
              <w:footnoteReference w:id="6"/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66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8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pStyle w:val="736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12"/>
        </w:rPr>
      </w:pP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/>
    </w:p>
    <w:p>
      <w:pPr>
        <w:pStyle w:val="736"/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12"/>
        </w:rPr>
      </w:pP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/>
    </w:p>
    <w:p>
      <w:pPr>
        <w:pStyle w:val="736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pStyle w:val="736"/>
        <w:ind w:firstLine="0"/>
        <w:spacing w:before="120"/>
        <w:rPr>
          <w:rFonts w:ascii="PT Astra Serif" w:hAnsi="PT Astra Serif" w:cs="PT Astra Serif" w:eastAsia="PT Astra Serif"/>
        </w:rPr>
        <w:sectPr>
          <w:headerReference w:type="first" r:id="rId11"/>
          <w:footnotePr/>
          <w:type w:val="nextPage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trHeight w:val="425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pStyle w:val="736"/>
              <w:ind w:right="113" w:firstLine="0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Экземпляр №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0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firstLine="0"/>
        <w:rPr>
          <w:rFonts w:ascii="PT Astra Serif" w:hAnsi="PT Astra Serif" w:cs="PT Astra Serif" w:eastAsia="PT Astra Serif"/>
          <w:sz w:val="2"/>
          <w:szCs w:val="2"/>
        </w:rPr>
      </w:pPr>
      <w:r>
        <w:rPr>
          <w:rFonts w:ascii="PT Astra Serif" w:hAnsi="PT Astra Serif" w:cs="PT Astra Serif" w:eastAsia="PT Astra Serif"/>
          <w:sz w:val="2"/>
          <w:szCs w:val="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trHeight w:val="397" w:hRule="exact"/>
        </w:trPr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5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6</w:t>
            </w:r>
            <w:r/>
          </w:p>
        </w:tc>
      </w:tr>
    </w:tbl>
    <w:p>
      <w:pPr>
        <w:pStyle w:val="736"/>
        <w:ind w:firstLine="0"/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Регистрационный номер объекта культурного</w:t>
        <w:br/>
        <w:t xml:space="preserve">наследия в едином государственном реестре</w:t>
        <w:br/>
        <w:t xml:space="preserve">объектов культурного наследия (памятников</w:t>
        <w:br/>
        <w:t xml:space="preserve">истории и 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Паспорт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Фотографическое изображение объекта культурного наследия,</w:t>
        <w:br/>
        <w:t xml:space="preserve">за исключением отдельных объектов археологического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наследия, фотографическое изображение которых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вносится на основании решения соответствующего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органа охраны объектов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r/>
      <w:r/>
    </w:p>
    <w:p>
      <w:r/>
      <w:r/>
    </w:p>
    <w:p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3949853"/>
                <wp:effectExtent l="0" t="0" r="0" b="0"/>
                <wp:docPr id="2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39789" cy="39498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67.7pt;height:311.0pt;" stroked="false">
                <v:path textboxrect="0,0,0,0"/>
                <v:imagedata r:id="rId16" o:title=""/>
              </v:shape>
            </w:pict>
          </mc:Fallback>
        </mc:AlternateContent>
      </w:r>
      <w:r/>
    </w:p>
    <w:p>
      <w:pPr>
        <w:pStyle w:val="736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55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</w:tr>
    </w:tbl>
    <w:p>
      <w:pPr>
        <w:pStyle w:val="736"/>
        <w:ind w:left="5500"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съемки (число, месяц, год)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36"/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1. 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Сведения о наименовании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  <w:t xml:space="preserve">Дом, в котором в 1910-1912 гг. жил писатель Шишков Вячеслав Яковлевич </w:t>
              <w:br/>
              <w:t xml:space="preserve">(Жилой дом (деревянный), ХIХ в.)</w:t>
            </w:r>
            <w:r/>
          </w:p>
        </w:tc>
      </w:tr>
    </w:tbl>
    <w:p>
      <w:pPr>
        <w:pStyle w:val="736"/>
        <w:ind w:firstLine="0"/>
        <w:jc w:val="both"/>
        <w:keepNext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pStyle w:val="736"/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36"/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sz w:val="24"/>
                <w:highlight w:val="white"/>
              </w:rPr>
              <w:t xml:space="preserve">ХIХ в.</w:t>
            </w:r>
            <w:r>
              <w:rPr>
                <w:highlight w:val="white"/>
              </w:rPr>
            </w:r>
            <w:r/>
          </w:p>
        </w:tc>
      </w:tr>
    </w:tbl>
    <w:p>
      <w:pPr>
        <w:pStyle w:val="736"/>
        <w:ind w:firstLine="708"/>
        <w:keepNext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708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3. Сведения о категории историко-культурного значения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Федерального</w:t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</w:t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Местного</w:t>
              <w:br/>
              <w:t xml:space="preserve">(муниципального)</w:t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firstLine="0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4. Сведения о виде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Достопримечательное</w:t>
              <w:br/>
              <w:t xml:space="preserve">место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firstLine="0"/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Постановление Совета Министров РСФСР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 декабря 1974 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624 «О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дополнении и частичном изменении постановления Совета Министров РСФСР от 30 августа 1960 г. №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1327 «О дальнейшем улучшении дела охраны памятников культуры в РСФСР»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firstLine="0"/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описание местоположения объекта)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омская область,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 Томск,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Октябрьский район,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Шишкова улица, </w:t>
            </w:r>
            <w:r>
              <w:rPr>
                <w:rFonts w:ascii="PT Astra Serif" w:hAnsi="PT Astra Serif" w:cs="PT Astra Serif" w:eastAsia="PT Astra Serif"/>
              </w:rPr>
              <w:t xml:space="preserve">10</w:t>
            </w:r>
            <w:r/>
          </w:p>
        </w:tc>
      </w:tr>
    </w:tbl>
    <w:p>
      <w:pPr>
        <w:pStyle w:val="736"/>
        <w:ind w:firstLine="0"/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7. Сведения о границах территории объекта культурного наследия, включенного 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единый государственный реестр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2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736"/>
              <w:ind w:right="57" w:firstLine="0"/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Границы территории объекта культурного наследия утверждены приказом Департамента по культуре и туризму Томской области от 16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.201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№ 2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/01-09 «Об утверждении границ территори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объект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культурного наследия (памятник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истории и культуры)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ального значения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«Дом жилой (деревянный), ХIХ в.»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, расположенн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адресу: г.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Томск, ул. Шишкова, 10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 (зарегистрированы в ЕГРН под номером 70:21-8.124)</w:t>
            </w:r>
            <w:r>
              <w:rPr>
                <w:rFonts w:ascii="PT Astra Serif" w:hAnsi="PT Astra Serif" w:cs="PT Astra Serif" w:eastAsia="PT Astra Serif"/>
                <w:sz w:val="12"/>
                <w:szCs w:val="24"/>
              </w:rPr>
            </w:r>
            <w:r/>
          </w:p>
          <w:p>
            <w:pPr>
              <w:pStyle w:val="736"/>
              <w:ind w:right="57" w:firstLine="0"/>
              <w:jc w:val="center"/>
            </w:pPr>
            <w:r>
              <w:rPr>
                <w:sz w:val="24"/>
                <w:szCs w:val="24"/>
              </w:rPr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365175" cy="2400782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365175" cy="2400781"/>
                              </a:xfrm>
                              <a:prstGeom prst="rect">
                                <a:avLst/>
                              </a:prstGeom>
                              <a:noFill/>
                              <a:ln w="6349">
                                <a:solidFill>
                                  <a:schemeClr val="accent1">
                                    <a:lumMod val="50196"/>
                                  </a:schemeClr>
                                </a:solidFill>
                                <a:prstDash val="solid"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186.2pt;height:189.0pt;" strokecolor="#244161" strokeweight="0.50pt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</w:tr>
    </w:tbl>
    <w:p>
      <w:pPr>
        <w:pStyle w:val="736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36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36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8. Описание предмета охраны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570"/>
      </w:tblGrid>
      <w:tr>
        <w:trPr/>
        <w:tc>
          <w:tcPr>
            <w:tcW w:w="9570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Согласно приказу М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инистерства культуры Российской Федерации от 09.06.2014 г. № 1041 «Об утверждении предмета охраны объекта культурного наследия федерального значения «Дом, в котором в 1910 – 1912 гг. жил писатель Шишков Вячеслав Яковлевич» («Жилой дом (деревянный)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»,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en-US"/>
              </w:rPr>
              <w:t xml:space="preserve">XIX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.)», расположенного в Томской области (г. Томск), и его регистрации в едином государственном реестре объектов культурного наследия (памятников истории и культуры) народов Российской Федерации» предметом охраны объекта культурного наследия являются: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1. Градостроительные характеристики здания, участвующего в формировании исторической застройки ул. Шишкова (бывшей ул. Акимовской) конца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en-US"/>
              </w:rPr>
              <w:t xml:space="preserve">XIX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-начала ХХ в. Здание расположено по линии застройки квартала.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2. Объемно-пространственная композиция здания на да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ту постройки 1905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 Единый, компактный двухэтажный объем с мезонином и лоджией, обращенный своим главным фасадом на ул. Шишкова. Форма плана - прямоугольная, со стороны северного фасада усложнена выступающим объемом ризалита, расположенного по оси здания.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3. Конфигурация крыши (вальмовая), ее конструкция (стропильная система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из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бревен с дощатой обрешеткой), характер и материал кровельного покрытия (металл), высотные отметки по коньку и карнизу крыши. Слуховые окна на кровле здания, их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местоположение, форма, количество и декоративное оформление деревянными наличниками с тр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еугольным завершением, украшенным накладным резным декором растительного орнамента и фигурными колонками по бокам наличника. Печные трубы (утрачены и подлежат восстановлению) и водосточные трубы, их местоположение, форма, размер и декоративное оформление.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4. Композиционное решение и архитектурно-художественное оформление фасадов здания на 1905 г. включая: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Местоположение, габа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риты входов: основной вход - со стороны главного фасада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ул.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Шишкова, проем большой для двухстворчатой двери; служебные входы - со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стороны восточного фасада (два с двухстворчатыми дверями) и северного фасада (вход на служебную лестницу).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89"/>
              <w:ind w:left="0"/>
              <w:jc w:val="both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Местоположение, размеры и форма оконных проемов, материал и конструкция оконных заполнений. Преобладают - прямоугольные с лучковым завершением. В уровне мансарды - квадратные.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Детально-декоративная трактовка всех элементов и частей фасадов (габариты, местоположение, конструкция, материал (дерево, кирпич), форма, профиль, сечения) включая: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Оформление массивным сильно выступающим рустом кирпичных стен первого этажа здания, с широким многопрофильным междуэтажным поясом и веерообразными замковыми камнями над оконными и дверными проемами;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Обшивка деревянных стен 2-го этажа здания профильной доской: выше уровня подоконного профильного пояса - горизонтальная обшивка с гладкой поверхностью, ниже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- вертикальная обшивка с рифленой поверхностью.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90"/>
              <w:ind w:left="0"/>
              <w:jc w:val="both"/>
              <w:spacing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Плоские пилястры на углах здания, с филенчатой базой и богато декорированные накладной объемной резьбой в виде фигурных колонок и элементов геометрического 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 растительного орнамента.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90"/>
              <w:ind w:left="0"/>
              <w:jc w:val="both"/>
              <w:spacing w:after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Наличники окон 2-го этажа с полуциркульной формой завершения, оформлением вертикальных элементов объемной накладной резьбой в виде фигурных полуколонок и декорированные накладной и пропильной резьбой растительного орнамента;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Двухъярусный карниз кровли, декорированный накладной и пропильной резьбой геометрического и растительного орнамента. Ажурные из пропильной резьбы фигурные деревянные кронштейны, поддерживающие значительный вынос карниза;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90"/>
              <w:ind w:left="0"/>
              <w:jc w:val="both"/>
              <w:spacing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Двухэтажная лоджия, на 4-х квадратных в сечении столбах с ограждением в виде точеных фигурных балясин в уровне 2-го этажа, расположенная со стороны восточного фасада здания;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90"/>
              <w:ind w:left="0"/>
              <w:jc w:val="both"/>
              <w:spacing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оформление парадного входа в здание выступающим из поля стены тамбуром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 завершением округлой формы и накладным объемным декором в виде угловых пилястр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ru-RU" w:eastAsia="ru-RU"/>
              </w:rPr>
              <w:t xml:space="preserve"> ионическими капителями и элементами декора растительного орнамента.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5. Матер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иал и характер обработки фасадных поверхностей на период 1905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 включая кирпичную кладку стен 1-го этажа здания с обработкой поверхности объемным выступающим рустом и бревенчатые стены 2-го этажа здания, рубленные в «обло»,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последующей обшивко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й профильной доской. Декоративные элементы фасада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покрашенной поверхностью: обшивка деревянных стен профильной доской, наличники, пилястры, карнизная часть фасадов, столбы и ограждение лоджии, выступающий тамбур основного входа в здание.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6. Колористическое решение фасадов здания на начало ХХ в.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7. Столярные оконные заполнения начала ХХ в., включая их габариты, материал (дере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во), характер оформления, рисунок переплета оконных рам, подоконники, скобяную фурнитуру. Все типы сохранившихся дверных заполнений (глухие филенчатые) включая их габариты, материал (дерево), характер оформления, форму и рисунок оформления дверных полотен.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8. Лестницы внутренние на период постройки здания (1905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г.) их размеры, местоположение, материал (дерево), конструкция, конфигурация маршей, отделка маршей, ступеней и площадок, профиль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тупеней, материал и рисунок ограждения (деревянные, точеные балясины), декоративные элементы. В доме две внутренние деревянные лестницы: одна широкая парадная одномаршевая лестница с ограждением       в виде точеных балясин, располагалась со стороны главно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го входа в здание 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не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отапливаемом помещении и обеспечивала связь с помещениями второго этажа. Вторая лестница узкая, с первого до второго этажа одномаршевая, располагалась 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помещении ризалита (ныне утрачена) с уров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ня второго этажа до мезонина, располагалась в смежном помещении - ранее была П-образная с ограждением в виде точеных балясин в процессе ремонтно-реставрационных работ заменена - на аналогичную, но двухмаршевую деревянную лестницу.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9. Сохранившаяся простра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нственно-планировочная структура интерьеров здания 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габаритах капитальных несущих конструкций стен и перекрытий на период постройки здания (1905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г.) включая первоначальные габариты дверных проемов всех помещений здания. Планировочная структура здания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(1 и 2 этаж) имеет коридорную систему. Коридор расположен в центральной части здания и объединяет расположенные по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периметру помещения. Помещения мезонина занимают небольшую часть чердачного пространства со стороны северного фасада здания.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10. Конструкция и материал стен, перекрытий, фундаментов на период постройки здания 1905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г., включая бутовые фундаменты на известково-песча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ном растворе, кирпичные стены первого этажа, бревенчатые капитальные стены, рубленные в «обло» 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«лапу», междуэтажные и чердачное перекрытия по деревянным балкам. В помещениях северной части здания перекрытие кирпичными сводами по металлическим балкам.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11.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4"/>
              </w:rPr>
              <w:t xml:space="preserve">Стены (материал, конструкция) 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архитектурно-художественное оформление интерьеров на период постройки здания 1905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 включая: местоположение, размеры, профиль сечения, декоративное оформление потолков помещений и коридоров профильными потолочно-стенными тягами и потолоч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ными розетками: в уровне 1-го этажа геометрической формы, в уровне 2-го этажа - геометрической формы с элементами растительного орнамента. Часть лепного декора потолков с использованием элементов растительного орнамента утрачена и подлежит восстановлению.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36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12. Местоположение, форма (прямоугольны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 и угловые) и размеры печей, их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декоративное оформление (облицовка белыми глазурованными керамическими изразцами (22 х 22см.), их материал, форма, фактура, характер и качество обработанной поверхности, цвет и декоративное оформление). Местопо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ложение, материал и форма задвижек, поддувала и печной дверцы, их декоративное оформление. Функциональное назначение печей утрачено, облицовка и элементы функционирования печей утрачены      и подлежат восстановлению по материалам исследований и аналогам.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 процессе ремонтно-реставрационных работ облицовка печей была заменена на оштукатуренную поверхность с фигурными филенками. Карнизная часть печей оформлена штукатурными профильными тягами, выполненными единым профилем по всему периметру потолка помещения.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firstLine="0"/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9. Сведения о наличии зон охраны данного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36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Охранная зона объект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культурного наследия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ального значения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ОЗ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 согласно Постановлению Администрации Томской области от 14.06.2012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 №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226а «Об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утверждении границ зон охраны объектов культурного наследия, расположенных 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территории г. Томска, режимов использования земель и градостроительных регламентов в границах данных зон охраны».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226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564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Всего в паспорте листов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sz w:val="24"/>
              </w:rPr>
              <w:t xml:space="preserve">5</w:t>
            </w:r>
            <w:r/>
          </w:p>
        </w:tc>
      </w:tr>
    </w:tbl>
    <w:p>
      <w:pPr>
        <w:pStyle w:val="736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c>
          <w:tcPr>
            <w:tcW w:w="4139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Председатель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Е.В. Перетягина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4139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должность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подпись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инициалы, фамилия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firstLine="0"/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36"/>
        <w:ind w:firstLine="0"/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  <w:r>
              <w:rPr>
                <w:sz w:val="24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sz w:val="24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36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36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оформления паспорта</w:t>
        <w:br/>
        <w:t xml:space="preserve">(число, месяц, год)</w:t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12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10000000000000000"/>
  </w:font>
  <w:font w:name=" PT Astra Serif">
    <w:panose1 w:val="020A0703040505020204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Calibri">
    <w:panose1 w:val="020F050202020403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4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4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  <w:footnote w:id="1">
    <w:p>
      <w:pPr>
        <w:pStyle w:val="723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725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  <w:sz w:val="20"/>
        </w:rPr>
        <w:t xml:space="preserve">В соответствии с пунктом 4 статьи 47.6 Федерального закона от 25 июня 2002 г. № 73-ФЗ «Об объектах </w:t>
        <w:br/>
        <w:t xml:space="preserve">кул</w:t>
      </w:r>
      <w:r>
        <w:rPr>
          <w:rFonts w:ascii="PT Astra Serif" w:hAnsi="PT Astra Serif" w:cs="PT Astra Serif" w:eastAsia="PT Astra Serif"/>
          <w:sz w:val="20"/>
        </w:rPr>
        <w:t xml:space="preserve">ьтурного наследия (памятниках истории и культуры) народов Российской Федерации (далее - Закон </w:t>
        <w:br/>
        <w:t xml:space="preserve">№ 73-ФЗ) при наличии паспорта объекта культурного наследия, предусмотренного статьей 21 Закона </w:t>
        <w:br/>
        <w:t xml:space="preserve">№ 73-ФЗ, он является неотъемлемой частью охранного обязательства.</w:t>
      </w:r>
      <w:r>
        <w:rPr>
          <w:rFonts w:ascii="PT Astra Serif" w:hAnsi="PT Astra Serif" w:cs="PT Astra Serif" w:eastAsia="PT Astra Serif"/>
          <w:sz w:val="20"/>
        </w:rPr>
      </w:r>
      <w:r/>
    </w:p>
  </w:footnote>
  <w:footnote w:id="2">
    <w:p>
      <w:pPr>
        <w:pStyle w:val="723"/>
        <w:jc w:val="both"/>
      </w:pPr>
      <w:r>
        <w:rPr>
          <w:rStyle w:val="725"/>
        </w:rPr>
        <w:footnoteRef/>
      </w:r>
      <w: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  <w:footnote w:id="3">
    <w:p>
      <w:pPr>
        <w:pStyle w:val="723"/>
      </w:pPr>
      <w:r>
        <w:rPr>
          <w:rStyle w:val="725"/>
        </w:rPr>
        <w:footnoteRef/>
      </w:r>
      <w:r>
        <w:t xml:space="preserve"> З</w:t>
      </w:r>
      <w:r>
        <w:t xml:space="preserve"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  <w:r/>
    </w:p>
  </w:footnote>
  <w:footnote w:id="4">
    <w:p>
      <w:pPr>
        <w:pStyle w:val="723"/>
      </w:pPr>
      <w:r>
        <w:rPr>
          <w:rStyle w:val="725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  <w:r/>
    </w:p>
  </w:footnote>
  <w:footnote w:id="5">
    <w:p>
      <w:pPr>
        <w:pStyle w:val="723"/>
      </w:pPr>
      <w:r>
        <w:rPr>
          <w:rStyle w:val="725"/>
        </w:rPr>
        <w:footnoteRef/>
      </w:r>
      <w: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  <w:r/>
    </w:p>
  </w:footnote>
  <w:footnote w:id="6">
    <w:p>
      <w:pPr>
        <w:pStyle w:val="723"/>
      </w:pPr>
      <w:r>
        <w:rPr>
          <w:rStyle w:val="725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 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ind w:firstLine="0"/>
      <w:rPr>
        <w:rStyle w:val="745"/>
        <w:b/>
        <w:sz w:val="24"/>
      </w:rPr>
      <w:framePr w:wrap="around" w:vAnchor="text" w:hAnchor="margin" w:xAlign="center" w:y="1"/>
    </w:pPr>
    <w:r>
      <w:rPr>
        <w:rStyle w:val="745"/>
        <w:b/>
        <w:sz w:val="24"/>
      </w:rPr>
      <w:fldChar w:fldCharType="begin"/>
    </w:r>
    <w:r>
      <w:rPr>
        <w:rStyle w:val="745"/>
        <w:b/>
        <w:sz w:val="24"/>
      </w:rPr>
      <w:instrText xml:space="preserve">PAGE  </w:instrText>
    </w:r>
    <w:r>
      <w:rPr>
        <w:rStyle w:val="745"/>
        <w:b/>
        <w:sz w:val="24"/>
      </w:rPr>
      <w:fldChar w:fldCharType="separate"/>
    </w:r>
    <w:r>
      <w:rPr>
        <w:rStyle w:val="745"/>
        <w:b/>
        <w:sz w:val="24"/>
      </w:rPr>
      <w:t xml:space="preserve">11</w:t>
    </w:r>
    <w:r>
      <w:rPr>
        <w:rStyle w:val="745"/>
        <w:b/>
        <w:sz w:val="24"/>
      </w:rPr>
      <w:fldChar w:fldCharType="end"/>
    </w:r>
    <w:r>
      <w:rPr>
        <w:rStyle w:val="745"/>
        <w:b/>
        <w:sz w:val="24"/>
      </w:rPr>
    </w:r>
    <w:r/>
  </w:p>
  <w:p>
    <w:pPr>
      <w:pStyle w:val="74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rStyle w:val="745"/>
      </w:rPr>
      <w:framePr w:wrap="around" w:vAnchor="text" w:hAnchor="margin" w:xAlign="center" w:y="1"/>
    </w:pPr>
    <w:r>
      <w:rPr>
        <w:rStyle w:val="745"/>
      </w:rPr>
      <w:fldChar w:fldCharType="begin"/>
    </w:r>
    <w:r>
      <w:rPr>
        <w:rStyle w:val="745"/>
      </w:rPr>
      <w:instrText xml:space="preserve">PAGE  </w:instrText>
    </w:r>
    <w:r>
      <w:rPr>
        <w:rStyle w:val="745"/>
      </w:rPr>
      <w:fldChar w:fldCharType="end"/>
    </w:r>
    <w:r>
      <w:rPr>
        <w:rStyle w:val="745"/>
      </w:rPr>
    </w:r>
    <w:r/>
  </w:p>
  <w:p>
    <w:pPr>
      <w:pStyle w:val="74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6"/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  <w:r/>
  </w:p>
  <w:p>
    <w:pPr>
      <w:pStyle w:val="743"/>
      <w:ind w:firstLine="0"/>
      <w:spacing w:lineRule="exact" w:line="360" w:after="0" w:before="0"/>
      <w:rPr>
        <w:szCs w:val="28"/>
      </w:rPr>
    </w:pPr>
    <w:r>
      <w:rPr>
        <w:szCs w:val="28"/>
      </w:rPr>
      <w:t xml:space="preserve">КОМИТЕТ ПО ОХРАНЕ ОБЪЕКТОВ КУЛЬТУРНОГО НАСЛЕДИЯ ТОМСКОЙ ОБЛАСТИ</w:t>
    </w:r>
    <w:r/>
  </w:p>
  <w:p>
    <w:pPr>
      <w:pStyle w:val="743"/>
      <w:ind w:firstLine="0"/>
      <w:spacing w:after="0" w:before="240"/>
      <w:rPr>
        <w:sz w:val="36"/>
        <w:szCs w:val="36"/>
      </w:rPr>
    </w:pPr>
    <w:r>
      <w:rPr>
        <w:spacing w:val="20"/>
        <w:sz w:val="36"/>
        <w:szCs w:val="36"/>
      </w:rPr>
      <w:t xml:space="preserve">ПРИКАЗ</w:t>
    </w:r>
    <w:r>
      <w:rPr>
        <w:sz w:val="36"/>
        <w:szCs w:val="36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b w:val="false"/>
        <w:sz w:val="24"/>
        <w:szCs w:val="24"/>
      </w:rPr>
      <w:fldChar w:fldCharType="separate"/>
    </w:r>
    <w:r>
      <w:rPr>
        <w:b w:val="false"/>
        <w:sz w:val="24"/>
        <w:szCs w:val="24"/>
      </w:rPr>
      <w:t xml:space="preserve">13</w:t>
    </w:r>
    <w:r>
      <w:rPr>
        <w:b w:val="false"/>
        <w:sz w:val="24"/>
        <w:szCs w:val="24"/>
      </w:rPr>
      <w:fldChar w:fldCharType="end"/>
    </w:r>
    <w:r>
      <w:rPr>
        <w:b w:val="false"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2.3.%1."/>
      <w:lvlJc w:val="left"/>
      <w:pPr>
        <w:pStyle w:val="736"/>
        <w:ind w:left="347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6"/>
        <w:ind w:left="419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6"/>
        <w:ind w:left="491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6"/>
        <w:ind w:left="563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6"/>
        <w:ind w:left="635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6"/>
        <w:ind w:left="707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6"/>
        <w:ind w:left="779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6"/>
        <w:ind w:left="851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6"/>
        <w:ind w:left="923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360" w:hanging="360"/>
        <w:tabs>
          <w:tab w:val="left" w:pos="360" w:leader="none"/>
        </w:tabs>
      </w:pPr>
      <w:rPr>
        <w:b w:val="false"/>
        <w:color w:val="000000"/>
        <w:sz w:val="26"/>
        <w:szCs w:val="26"/>
      </w:rPr>
    </w:lvl>
    <w:lvl w:ilvl="1">
      <w:start w:val="0"/>
      <w:numFmt w:val="decimal"/>
      <w:isLgl w:val="false"/>
      <w:suff w:val="tab"/>
      <w:lvlText w:val=""/>
      <w:lvlJc w:val="left"/>
      <w:pPr>
        <w:pStyle w:val="736"/>
        <w:tabs>
          <w:tab w:val="left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736"/>
        <w:tabs>
          <w:tab w:val="left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736"/>
        <w:tabs>
          <w:tab w:val="left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736"/>
        <w:tabs>
          <w:tab w:val="left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736"/>
        <w:tabs>
          <w:tab w:val="left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736"/>
        <w:tabs>
          <w:tab w:val="left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736"/>
        <w:tabs>
          <w:tab w:val="left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736"/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6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6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6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6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6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6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6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6"/>
        <w:ind w:left="6829" w:hanging="180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2.%1."/>
      <w:legacy w:legacy="1" w:legacyIndent="0" w:legacySpace="0"/>
      <w:lvlJc w:val="left"/>
      <w:pPr>
        <w:pStyle w:val="736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pStyle w:val="736"/>
        <w:ind w:left="360" w:hanging="360"/>
        <w:tabs>
          <w:tab w:val="left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736"/>
        <w:ind w:left="502" w:hanging="360"/>
        <w:tabs>
          <w:tab w:val="left" w:pos="502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736"/>
        <w:ind w:left="1440" w:hanging="720"/>
        <w:tabs>
          <w:tab w:val="left" w:pos="144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736"/>
        <w:ind w:left="1800" w:hanging="720"/>
        <w:tabs>
          <w:tab w:val="left" w:pos="180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736"/>
        <w:ind w:left="2520" w:hanging="1080"/>
        <w:tabs>
          <w:tab w:val="left" w:pos="252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736"/>
        <w:ind w:left="2880" w:hanging="1080"/>
        <w:tabs>
          <w:tab w:val="left" w:pos="28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736"/>
        <w:ind w:left="3600" w:hanging="1440"/>
        <w:tabs>
          <w:tab w:val="left" w:pos="360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736"/>
        <w:ind w:left="3960" w:hanging="1440"/>
        <w:tabs>
          <w:tab w:val="left" w:pos="396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736"/>
        <w:ind w:left="4680" w:hanging="1800"/>
        <w:tabs>
          <w:tab w:val="left" w:pos="46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720" w:hanging="360"/>
      </w:pPr>
      <w:rPr>
        <w:b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502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1800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2160" w:hanging="72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2880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3240" w:hanging="108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3960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4320" w:hanging="144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5040" w:hanging="1800"/>
      </w:pPr>
      <w:rPr>
        <w:b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2160" w:hanging="1800"/>
      </w:pPr>
      <w:rPr>
        <w:b w:val="false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36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36"/>
      </w:pPr>
    </w:lvl>
    <w:lvl w:ilvl="2">
      <w:start w:val="0"/>
      <w:numFmt w:val="decimal"/>
      <w:isLgl w:val="false"/>
      <w:suff w:val="tab"/>
      <w:lvlText w:val=""/>
      <w:lvlJc w:val="left"/>
      <w:pPr>
        <w:pStyle w:val="736"/>
      </w:pPr>
    </w:lvl>
    <w:lvl w:ilvl="3">
      <w:start w:val="0"/>
      <w:numFmt w:val="decimal"/>
      <w:isLgl w:val="false"/>
      <w:suff w:val="tab"/>
      <w:lvlText w:val=""/>
      <w:lvlJc w:val="left"/>
      <w:pPr>
        <w:pStyle w:val="736"/>
      </w:pPr>
    </w:lvl>
    <w:lvl w:ilvl="4">
      <w:start w:val="0"/>
      <w:numFmt w:val="decimal"/>
      <w:isLgl w:val="false"/>
      <w:suff w:val="tab"/>
      <w:lvlText w:val=""/>
      <w:lvlJc w:val="left"/>
      <w:pPr>
        <w:pStyle w:val="736"/>
      </w:pPr>
    </w:lvl>
    <w:lvl w:ilvl="5">
      <w:start w:val="0"/>
      <w:numFmt w:val="decimal"/>
      <w:isLgl w:val="false"/>
      <w:suff w:val="tab"/>
      <w:lvlText w:val=""/>
      <w:lvlJc w:val="left"/>
      <w:pPr>
        <w:pStyle w:val="736"/>
      </w:pPr>
    </w:lvl>
    <w:lvl w:ilvl="6">
      <w:start w:val="0"/>
      <w:numFmt w:val="decimal"/>
      <w:isLgl w:val="false"/>
      <w:suff w:val="tab"/>
      <w:lvlText w:val=""/>
      <w:lvlJc w:val="left"/>
      <w:pPr>
        <w:pStyle w:val="736"/>
      </w:pPr>
    </w:lvl>
    <w:lvl w:ilvl="7">
      <w:start w:val="0"/>
      <w:numFmt w:val="decimal"/>
      <w:isLgl w:val="false"/>
      <w:suff w:val="tab"/>
      <w:lvlText w:val=""/>
      <w:lvlJc w:val="left"/>
      <w:pPr>
        <w:pStyle w:val="736"/>
      </w:pPr>
    </w:lvl>
    <w:lvl w:ilvl="8">
      <w:start w:val="0"/>
      <w:numFmt w:val="decimal"/>
      <w:isLgl w:val="false"/>
      <w:suff w:val="tab"/>
      <w:lvlText w:val=""/>
      <w:lvlJc w:val="left"/>
      <w:pPr>
        <w:pStyle w:val="736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106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142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1789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214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2509" w:hanging="1800"/>
      </w:p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36"/>
        <w:ind w:left="390" w:hanging="39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1429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2138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3207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3916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4985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5694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6763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7472" w:hanging="1800"/>
      </w:pPr>
      <w:rPr>
        <w:b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36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36"/>
      </w:pPr>
    </w:lvl>
    <w:lvl w:ilvl="2">
      <w:start w:val="0"/>
      <w:numFmt w:val="decimal"/>
      <w:isLgl w:val="false"/>
      <w:suff w:val="tab"/>
      <w:lvlText w:val=""/>
      <w:lvlJc w:val="left"/>
      <w:pPr>
        <w:pStyle w:val="736"/>
      </w:pPr>
    </w:lvl>
    <w:lvl w:ilvl="3">
      <w:start w:val="0"/>
      <w:numFmt w:val="decimal"/>
      <w:isLgl w:val="false"/>
      <w:suff w:val="tab"/>
      <w:lvlText w:val=""/>
      <w:lvlJc w:val="left"/>
      <w:pPr>
        <w:pStyle w:val="736"/>
      </w:pPr>
    </w:lvl>
    <w:lvl w:ilvl="4">
      <w:start w:val="0"/>
      <w:numFmt w:val="decimal"/>
      <w:isLgl w:val="false"/>
      <w:suff w:val="tab"/>
      <w:lvlText w:val=""/>
      <w:lvlJc w:val="left"/>
      <w:pPr>
        <w:pStyle w:val="736"/>
      </w:pPr>
    </w:lvl>
    <w:lvl w:ilvl="5">
      <w:start w:val="0"/>
      <w:numFmt w:val="decimal"/>
      <w:isLgl w:val="false"/>
      <w:suff w:val="tab"/>
      <w:lvlText w:val=""/>
      <w:lvlJc w:val="left"/>
      <w:pPr>
        <w:pStyle w:val="736"/>
      </w:pPr>
    </w:lvl>
    <w:lvl w:ilvl="6">
      <w:start w:val="0"/>
      <w:numFmt w:val="decimal"/>
      <w:isLgl w:val="false"/>
      <w:suff w:val="tab"/>
      <w:lvlText w:val=""/>
      <w:lvlJc w:val="left"/>
      <w:pPr>
        <w:pStyle w:val="736"/>
      </w:pPr>
    </w:lvl>
    <w:lvl w:ilvl="7">
      <w:start w:val="0"/>
      <w:numFmt w:val="decimal"/>
      <w:isLgl w:val="false"/>
      <w:suff w:val="tab"/>
      <w:lvlText w:val=""/>
      <w:lvlJc w:val="left"/>
      <w:pPr>
        <w:pStyle w:val="736"/>
      </w:pPr>
    </w:lvl>
    <w:lvl w:ilvl="8">
      <w:start w:val="0"/>
      <w:numFmt w:val="decimal"/>
      <w:isLgl w:val="false"/>
      <w:suff w:val="tab"/>
      <w:lvlText w:val=""/>
      <w:lvlJc w:val="left"/>
      <w:pPr>
        <w:pStyle w:val="736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736"/>
        <w:ind w:left="2771" w:hanging="360"/>
        <w:tabs>
          <w:tab w:val="left" w:pos="2771" w:leader="none"/>
        </w:tabs>
      </w:pPr>
      <w:rPr>
        <w:b w:val="false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36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36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36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36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36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36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36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36"/>
        <w:ind w:left="6480" w:hanging="180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2.%1."/>
      <w:legacy w:legacy="1" w:legacyIndent="0" w:legacySpace="0"/>
      <w:lvlJc w:val="left"/>
      <w:pPr>
        <w:pStyle w:val="736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6"/>
        <w:ind w:left="6480" w:hanging="180"/>
      </w:p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36"/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6"/>
        <w:ind w:left="6480" w:hanging="180"/>
      </w:p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36"/>
        <w:ind w:left="390" w:hanging="39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3131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2138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3207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3916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4985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5694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6763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7472" w:hanging="1800"/>
      </w:pPr>
      <w:rPr>
        <w:b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2160" w:hanging="1800"/>
      </w:pPr>
      <w:rPr>
        <w:b w:val="false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36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2160" w:hanging="1800"/>
      </w:pPr>
      <w:rPr>
        <w:b w:val="false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pStyle w:val="736"/>
        <w:ind w:left="384" w:hanging="384"/>
        <w:tabs>
          <w:tab w:val="left" w:pos="384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736"/>
        <w:ind w:left="1094" w:hanging="384"/>
        <w:tabs>
          <w:tab w:val="left" w:pos="1094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736"/>
        <w:ind w:left="672" w:hanging="720"/>
        <w:tabs>
          <w:tab w:val="left" w:pos="672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736"/>
        <w:ind w:left="648" w:hanging="720"/>
        <w:tabs>
          <w:tab w:val="left" w:pos="648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736"/>
        <w:ind w:left="984" w:hanging="1080"/>
        <w:tabs>
          <w:tab w:val="left" w:pos="984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736"/>
        <w:ind w:left="960" w:hanging="1080"/>
        <w:tabs>
          <w:tab w:val="left" w:pos="9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736"/>
        <w:ind w:left="1296" w:hanging="1440"/>
        <w:tabs>
          <w:tab w:val="left" w:pos="1296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736"/>
        <w:ind w:left="1272" w:hanging="1440"/>
        <w:tabs>
          <w:tab w:val="left" w:pos="1272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736"/>
        <w:ind w:left="1608" w:hanging="1800"/>
        <w:tabs>
          <w:tab w:val="left" w:pos="1608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4.1.%1."/>
      <w:legacy w:legacy="1" w:legacyIndent="0" w:legacySpace="0"/>
      <w:lvlJc w:val="left"/>
      <w:pPr>
        <w:pStyle w:val="736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1">
    <w:multiLevelType w:val="hybridMultilevel"/>
    <w:lvl w:ilvl="0">
      <w:start w:val="4"/>
      <w:numFmt w:val="decimal"/>
      <w:isLgl w:val="false"/>
      <w:suff w:val="tab"/>
      <w:lvlText w:val="4.1.%1."/>
      <w:legacy w:legacy="1" w:legacyIndent="0" w:legacySpace="0"/>
      <w:lvlJc w:val="left"/>
      <w:pPr>
        <w:pStyle w:val="736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36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36"/>
      </w:pPr>
    </w:lvl>
    <w:lvl w:ilvl="2">
      <w:start w:val="0"/>
      <w:numFmt w:val="decimal"/>
      <w:isLgl w:val="false"/>
      <w:suff w:val="tab"/>
      <w:lvlText w:val=""/>
      <w:lvlJc w:val="left"/>
      <w:pPr>
        <w:pStyle w:val="736"/>
      </w:pPr>
    </w:lvl>
    <w:lvl w:ilvl="3">
      <w:start w:val="0"/>
      <w:numFmt w:val="decimal"/>
      <w:isLgl w:val="false"/>
      <w:suff w:val="tab"/>
      <w:lvlText w:val=""/>
      <w:lvlJc w:val="left"/>
      <w:pPr>
        <w:pStyle w:val="736"/>
      </w:pPr>
    </w:lvl>
    <w:lvl w:ilvl="4">
      <w:start w:val="0"/>
      <w:numFmt w:val="decimal"/>
      <w:isLgl w:val="false"/>
      <w:suff w:val="tab"/>
      <w:lvlText w:val=""/>
      <w:lvlJc w:val="left"/>
      <w:pPr>
        <w:pStyle w:val="736"/>
      </w:pPr>
    </w:lvl>
    <w:lvl w:ilvl="5">
      <w:start w:val="0"/>
      <w:numFmt w:val="decimal"/>
      <w:isLgl w:val="false"/>
      <w:suff w:val="tab"/>
      <w:lvlText w:val=""/>
      <w:lvlJc w:val="left"/>
      <w:pPr>
        <w:pStyle w:val="736"/>
      </w:pPr>
    </w:lvl>
    <w:lvl w:ilvl="6">
      <w:start w:val="0"/>
      <w:numFmt w:val="decimal"/>
      <w:isLgl w:val="false"/>
      <w:suff w:val="tab"/>
      <w:lvlText w:val=""/>
      <w:lvlJc w:val="left"/>
      <w:pPr>
        <w:pStyle w:val="736"/>
      </w:pPr>
    </w:lvl>
    <w:lvl w:ilvl="7">
      <w:start w:val="0"/>
      <w:numFmt w:val="decimal"/>
      <w:isLgl w:val="false"/>
      <w:suff w:val="tab"/>
      <w:lvlText w:val=""/>
      <w:lvlJc w:val="left"/>
      <w:pPr>
        <w:pStyle w:val="736"/>
      </w:pPr>
    </w:lvl>
    <w:lvl w:ilvl="8">
      <w:start w:val="0"/>
      <w:numFmt w:val="decimal"/>
      <w:isLgl w:val="false"/>
      <w:suff w:val="tab"/>
      <w:lvlText w:val=""/>
      <w:lvlJc w:val="left"/>
      <w:pPr>
        <w:pStyle w:val="736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36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36"/>
      </w:pPr>
    </w:lvl>
    <w:lvl w:ilvl="2">
      <w:start w:val="0"/>
      <w:numFmt w:val="decimal"/>
      <w:isLgl w:val="false"/>
      <w:suff w:val="tab"/>
      <w:lvlText w:val=""/>
      <w:lvlJc w:val="left"/>
      <w:pPr>
        <w:pStyle w:val="736"/>
      </w:pPr>
    </w:lvl>
    <w:lvl w:ilvl="3">
      <w:start w:val="0"/>
      <w:numFmt w:val="decimal"/>
      <w:isLgl w:val="false"/>
      <w:suff w:val="tab"/>
      <w:lvlText w:val=""/>
      <w:lvlJc w:val="left"/>
      <w:pPr>
        <w:pStyle w:val="736"/>
      </w:pPr>
    </w:lvl>
    <w:lvl w:ilvl="4">
      <w:start w:val="0"/>
      <w:numFmt w:val="decimal"/>
      <w:isLgl w:val="false"/>
      <w:suff w:val="tab"/>
      <w:lvlText w:val=""/>
      <w:lvlJc w:val="left"/>
      <w:pPr>
        <w:pStyle w:val="736"/>
      </w:pPr>
    </w:lvl>
    <w:lvl w:ilvl="5">
      <w:start w:val="0"/>
      <w:numFmt w:val="decimal"/>
      <w:isLgl w:val="false"/>
      <w:suff w:val="tab"/>
      <w:lvlText w:val=""/>
      <w:lvlJc w:val="left"/>
      <w:pPr>
        <w:pStyle w:val="736"/>
      </w:pPr>
    </w:lvl>
    <w:lvl w:ilvl="6">
      <w:start w:val="0"/>
      <w:numFmt w:val="decimal"/>
      <w:isLgl w:val="false"/>
      <w:suff w:val="tab"/>
      <w:lvlText w:val=""/>
      <w:lvlJc w:val="left"/>
      <w:pPr>
        <w:pStyle w:val="736"/>
      </w:pPr>
    </w:lvl>
    <w:lvl w:ilvl="7">
      <w:start w:val="0"/>
      <w:numFmt w:val="decimal"/>
      <w:isLgl w:val="false"/>
      <w:suff w:val="tab"/>
      <w:lvlText w:val=""/>
      <w:lvlJc w:val="left"/>
      <w:pPr>
        <w:pStyle w:val="736"/>
      </w:pPr>
    </w:lvl>
    <w:lvl w:ilvl="8">
      <w:start w:val="0"/>
      <w:numFmt w:val="decimal"/>
      <w:isLgl w:val="false"/>
      <w:suff w:val="tab"/>
      <w:lvlText w:val=""/>
      <w:lvlJc w:val="left"/>
      <w:pPr>
        <w:pStyle w:val="736"/>
      </w:pPr>
    </w:lvl>
  </w:abstractNum>
  <w:abstractNum w:abstractNumId="2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36"/>
        <w:ind w:left="390" w:hanging="390"/>
      </w:p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1288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185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278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334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427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4842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576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6336" w:hanging="180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36"/>
      </w:pPr>
    </w:lvl>
    <w:lvl w:ilvl="2">
      <w:start w:val="0"/>
      <w:numFmt w:val="decimal"/>
      <w:isLgl w:val="false"/>
      <w:suff w:val="tab"/>
      <w:lvlText w:val=""/>
      <w:lvlJc w:val="left"/>
      <w:pPr>
        <w:pStyle w:val="736"/>
      </w:pPr>
    </w:lvl>
    <w:lvl w:ilvl="3">
      <w:start w:val="0"/>
      <w:numFmt w:val="decimal"/>
      <w:isLgl w:val="false"/>
      <w:suff w:val="tab"/>
      <w:lvlText w:val=""/>
      <w:lvlJc w:val="left"/>
      <w:pPr>
        <w:pStyle w:val="736"/>
      </w:pPr>
    </w:lvl>
    <w:lvl w:ilvl="4">
      <w:start w:val="0"/>
      <w:numFmt w:val="decimal"/>
      <w:isLgl w:val="false"/>
      <w:suff w:val="tab"/>
      <w:lvlText w:val=""/>
      <w:lvlJc w:val="left"/>
      <w:pPr>
        <w:pStyle w:val="736"/>
      </w:pPr>
    </w:lvl>
    <w:lvl w:ilvl="5">
      <w:start w:val="0"/>
      <w:numFmt w:val="decimal"/>
      <w:isLgl w:val="false"/>
      <w:suff w:val="tab"/>
      <w:lvlText w:val=""/>
      <w:lvlJc w:val="left"/>
      <w:pPr>
        <w:pStyle w:val="736"/>
      </w:pPr>
    </w:lvl>
    <w:lvl w:ilvl="6">
      <w:start w:val="0"/>
      <w:numFmt w:val="decimal"/>
      <w:isLgl w:val="false"/>
      <w:suff w:val="tab"/>
      <w:lvlText w:val=""/>
      <w:lvlJc w:val="left"/>
      <w:pPr>
        <w:pStyle w:val="736"/>
      </w:pPr>
    </w:lvl>
    <w:lvl w:ilvl="7">
      <w:start w:val="0"/>
      <w:numFmt w:val="decimal"/>
      <w:isLgl w:val="false"/>
      <w:suff w:val="tab"/>
      <w:lvlText w:val=""/>
      <w:lvlJc w:val="left"/>
      <w:pPr>
        <w:pStyle w:val="736"/>
      </w:pPr>
    </w:lvl>
    <w:lvl w:ilvl="8">
      <w:start w:val="0"/>
      <w:numFmt w:val="decimal"/>
      <w:isLgl w:val="false"/>
      <w:suff w:val="tab"/>
      <w:lvlText w:val=""/>
      <w:lvlJc w:val="left"/>
      <w:pPr>
        <w:pStyle w:val="736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  <w:tabs>
          <w:tab w:val="left" w:pos="786" w:leader="none"/>
        </w:tabs>
      </w:pPr>
      <w:rPr>
        <w:rFonts w:ascii="Times New Roman" w:hAnsi="Times New Roman"/>
        <w:b w:val="false"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8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0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2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4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6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8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0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2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45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2160" w:hanging="1800"/>
      </w:pPr>
      <w:rPr>
        <w:b w:val="false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928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1070" w:hanging="360"/>
      </w:pPr>
      <w:rPr>
        <w:b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179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179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215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215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251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251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2870" w:hanging="1800"/>
      </w:pPr>
      <w:rPr>
        <w:b w:val="false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928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1070" w:hanging="360"/>
      </w:pPr>
      <w:rPr>
        <w:b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179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179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215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215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251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251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2870" w:hanging="1800"/>
      </w:pPr>
      <w:rPr>
        <w:b w:val="false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45" w:hanging="825"/>
        <w:tabs>
          <w:tab w:val="left" w:pos="154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440" w:hanging="360"/>
        <w:tabs>
          <w:tab w:val="left" w:pos="144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880" w:hanging="720"/>
        <w:tabs>
          <w:tab w:val="left" w:pos="28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960" w:hanging="720"/>
        <w:tabs>
          <w:tab w:val="left" w:pos="39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400" w:hanging="1080"/>
        <w:tabs>
          <w:tab w:val="left" w:pos="54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80" w:hanging="1080"/>
        <w:tabs>
          <w:tab w:val="left" w:pos="64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920" w:hanging="1440"/>
        <w:tabs>
          <w:tab w:val="left" w:pos="79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0" w:hanging="1440"/>
        <w:tabs>
          <w:tab w:val="left" w:pos="90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440" w:hanging="1800"/>
        <w:tabs>
          <w:tab w:val="left" w:pos="10440" w:leader="none"/>
        </w:tabs>
      </w:pPr>
      <w:rPr>
        <w:rFonts w:hint="default"/>
      </w:rPr>
    </w:lvl>
  </w:abstractNum>
  <w:abstractNum w:abstractNumId="39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440" w:hanging="360"/>
        <w:tabs>
          <w:tab w:val="left" w:pos="144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880" w:hanging="720"/>
        <w:tabs>
          <w:tab w:val="left" w:pos="28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960" w:hanging="720"/>
        <w:tabs>
          <w:tab w:val="left" w:pos="39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400" w:hanging="1080"/>
        <w:tabs>
          <w:tab w:val="left" w:pos="54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80" w:hanging="1080"/>
        <w:tabs>
          <w:tab w:val="left" w:pos="64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920" w:hanging="1440"/>
        <w:tabs>
          <w:tab w:val="left" w:pos="79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0" w:hanging="1440"/>
        <w:tabs>
          <w:tab w:val="left" w:pos="90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440" w:hanging="1800"/>
        <w:tabs>
          <w:tab w:val="left" w:pos="10440" w:leader="none"/>
        </w:tabs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  <w:tabs>
          <w:tab w:val="left" w:pos="927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  <w:tabs>
          <w:tab w:val="left" w:pos="1854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  <w:tabs>
          <w:tab w:val="left" w:pos="2421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  <w:tabs>
          <w:tab w:val="left" w:pos="3348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  <w:tabs>
          <w:tab w:val="left" w:pos="391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  <w:tabs>
          <w:tab w:val="left" w:pos="4842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  <w:tabs>
          <w:tab w:val="left" w:pos="5409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  <w:tabs>
          <w:tab w:val="left" w:pos="6336" w:leader="none"/>
        </w:tabs>
      </w:pPr>
      <w:rPr>
        <w:rFonts w:hint="default"/>
      </w:rPr>
    </w:lvl>
  </w:abstractNum>
  <w:abstractNum w:abstractNumId="4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/>
        <w:b w:val="false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/>
        <w:b w:val="false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00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32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36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940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444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48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52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28" w:hanging="144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01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33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37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941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445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49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53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29" w:hanging="144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01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33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37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941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445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49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53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29" w:hanging="144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6"/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360" w:hanging="360"/>
        <w:tabs>
          <w:tab w:val="left" w:pos="360" w:leader="none"/>
        </w:tabs>
      </w:pPr>
      <w:rPr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pStyle w:val="736"/>
        <w:ind w:left="1954" w:hanging="1245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736"/>
        <w:ind w:left="2663" w:hanging="1245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736"/>
        <w:ind w:left="3372" w:hanging="1245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736"/>
        <w:ind w:left="4081" w:hanging="1245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736"/>
        <w:ind w:left="4790" w:hanging="1245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736"/>
        <w:ind w:left="56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36"/>
        <w:ind w:left="640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36"/>
        <w:ind w:left="7472" w:hanging="180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6"/>
        <w:ind w:left="6480" w:hanging="180"/>
      </w:pPr>
    </w:lvl>
  </w:abstractNum>
  <w:num w:numId="1">
    <w:abstractNumId w:val="25"/>
  </w:num>
  <w:num w:numId="2">
    <w:abstractNumId w:val="7"/>
  </w:num>
  <w:num w:numId="3">
    <w:abstractNumId w:val="23"/>
  </w:num>
  <w:num w:numId="4">
    <w:abstractNumId w:val="22"/>
  </w:num>
  <w:num w:numId="5">
    <w:abstractNumId w:val="11"/>
  </w:num>
  <w:num w:numId="6">
    <w:abstractNumId w:val="8"/>
  </w:num>
  <w:num w:numId="7">
    <w:abstractNumId w:val="13"/>
  </w:num>
  <w:num w:numId="8">
    <w:abstractNumId w:val="3"/>
  </w:num>
  <w:num w:numId="9">
    <w:abstractNumId w:val="20"/>
  </w:num>
  <w:num w:numId="10">
    <w:abstractNumId w:val="21"/>
  </w:num>
  <w:num w:numId="11">
    <w:abstractNumId w:val="18"/>
  </w:num>
  <w:num w:numId="12">
    <w:abstractNumId w:val="5"/>
  </w:num>
  <w:num w:numId="13">
    <w:abstractNumId w:val="4"/>
  </w:num>
  <w:num w:numId="14">
    <w:abstractNumId w:val="12"/>
  </w:num>
  <w:num w:numId="15">
    <w:abstractNumId w:val="14"/>
  </w:num>
  <w:num w:numId="16">
    <w:abstractNumId w:val="24"/>
  </w:num>
  <w:num w:numId="17">
    <w:abstractNumId w:val="1"/>
  </w:num>
  <w:num w:numId="18">
    <w:abstractNumId w:val="19"/>
  </w:num>
  <w:num w:numId="19">
    <w:abstractNumId w:val="10"/>
  </w:num>
  <w:num w:numId="20">
    <w:abstractNumId w:val="16"/>
  </w:num>
  <w:num w:numId="21">
    <w:abstractNumId w:val="2"/>
  </w:num>
  <w:num w:numId="22">
    <w:abstractNumId w:val="9"/>
  </w:num>
  <w:num w:numId="23">
    <w:abstractNumId w:val="0"/>
  </w:num>
  <w:num w:numId="24">
    <w:abstractNumId w:val="15"/>
  </w:num>
  <w:num w:numId="25">
    <w:abstractNumId w:val="6"/>
  </w:num>
  <w:num w:numId="26">
    <w:abstractNumId w:val="17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64">
    <w:name w:val="Heading 1"/>
    <w:link w:val="56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565">
    <w:name w:val="Heading 1 Char"/>
    <w:link w:val="564"/>
    <w:uiPriority w:val="9"/>
    <w:rPr>
      <w:rFonts w:ascii="Arial" w:hAnsi="Arial" w:cs="Arial" w:eastAsia="Arial"/>
      <w:sz w:val="40"/>
      <w:szCs w:val="40"/>
    </w:rPr>
  </w:style>
  <w:style w:type="paragraph" w:styleId="566">
    <w:name w:val="Heading 2"/>
    <w:link w:val="56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567">
    <w:name w:val="Heading 2 Char"/>
    <w:link w:val="566"/>
    <w:uiPriority w:val="9"/>
    <w:rPr>
      <w:rFonts w:ascii="Arial" w:hAnsi="Arial" w:cs="Arial" w:eastAsia="Arial"/>
      <w:sz w:val="34"/>
    </w:rPr>
  </w:style>
  <w:style w:type="paragraph" w:styleId="568">
    <w:name w:val="Heading 3"/>
    <w:link w:val="56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569">
    <w:name w:val="Heading 3 Char"/>
    <w:link w:val="568"/>
    <w:uiPriority w:val="9"/>
    <w:rPr>
      <w:rFonts w:ascii="Arial" w:hAnsi="Arial" w:cs="Arial" w:eastAsia="Arial"/>
      <w:sz w:val="30"/>
      <w:szCs w:val="30"/>
    </w:rPr>
  </w:style>
  <w:style w:type="paragraph" w:styleId="570">
    <w:name w:val="Heading 4"/>
    <w:link w:val="57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571">
    <w:name w:val="Heading 4 Char"/>
    <w:link w:val="570"/>
    <w:uiPriority w:val="9"/>
    <w:rPr>
      <w:rFonts w:ascii="Arial" w:hAnsi="Arial" w:cs="Arial" w:eastAsia="Arial"/>
      <w:b/>
      <w:bCs/>
      <w:sz w:val="26"/>
      <w:szCs w:val="26"/>
    </w:rPr>
  </w:style>
  <w:style w:type="paragraph" w:styleId="572">
    <w:name w:val="Heading 5"/>
    <w:link w:val="57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573">
    <w:name w:val="Heading 5 Char"/>
    <w:link w:val="572"/>
    <w:uiPriority w:val="9"/>
    <w:rPr>
      <w:rFonts w:ascii="Arial" w:hAnsi="Arial" w:cs="Arial" w:eastAsia="Arial"/>
      <w:b/>
      <w:bCs/>
      <w:sz w:val="24"/>
      <w:szCs w:val="24"/>
    </w:rPr>
  </w:style>
  <w:style w:type="paragraph" w:styleId="574">
    <w:name w:val="Heading 6"/>
    <w:link w:val="57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575">
    <w:name w:val="Heading 6 Char"/>
    <w:link w:val="574"/>
    <w:uiPriority w:val="9"/>
    <w:rPr>
      <w:rFonts w:ascii="Arial" w:hAnsi="Arial" w:cs="Arial" w:eastAsia="Arial"/>
      <w:b/>
      <w:bCs/>
      <w:sz w:val="22"/>
      <w:szCs w:val="22"/>
    </w:rPr>
  </w:style>
  <w:style w:type="paragraph" w:styleId="576">
    <w:name w:val="Heading 7"/>
    <w:link w:val="57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577">
    <w:name w:val="Heading 7 Char"/>
    <w:link w:val="57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578">
    <w:name w:val="Heading 8"/>
    <w:link w:val="57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579">
    <w:name w:val="Heading 8 Char"/>
    <w:link w:val="578"/>
    <w:uiPriority w:val="9"/>
    <w:rPr>
      <w:rFonts w:ascii="Arial" w:hAnsi="Arial" w:cs="Arial" w:eastAsia="Arial"/>
      <w:i/>
      <w:iCs/>
      <w:sz w:val="22"/>
      <w:szCs w:val="22"/>
    </w:rPr>
  </w:style>
  <w:style w:type="paragraph" w:styleId="580">
    <w:name w:val="Heading 9"/>
    <w:link w:val="58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581">
    <w:name w:val="Heading 9 Char"/>
    <w:link w:val="580"/>
    <w:uiPriority w:val="9"/>
    <w:rPr>
      <w:rFonts w:ascii="Arial" w:hAnsi="Arial" w:cs="Arial" w:eastAsia="Arial"/>
      <w:i/>
      <w:iCs/>
      <w:sz w:val="21"/>
      <w:szCs w:val="21"/>
    </w:rPr>
  </w:style>
  <w:style w:type="paragraph" w:styleId="582">
    <w:name w:val="List Paragraph"/>
    <w:qFormat/>
    <w:uiPriority w:val="34"/>
    <w:pPr>
      <w:contextualSpacing w:val="true"/>
      <w:ind w:left="720"/>
    </w:pPr>
  </w:style>
  <w:style w:type="paragraph" w:styleId="583">
    <w:name w:val="No Spacing"/>
    <w:qFormat/>
    <w:uiPriority w:val="1"/>
    <w:pPr>
      <w:spacing w:lineRule="auto" w:line="240" w:after="0" w:before="0"/>
    </w:pPr>
  </w:style>
  <w:style w:type="paragraph" w:styleId="584">
    <w:name w:val="Title"/>
    <w:link w:val="58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85">
    <w:name w:val="Title Char"/>
    <w:link w:val="584"/>
    <w:uiPriority w:val="10"/>
    <w:rPr>
      <w:sz w:val="48"/>
      <w:szCs w:val="48"/>
    </w:rPr>
  </w:style>
  <w:style w:type="paragraph" w:styleId="586">
    <w:name w:val="Subtitle"/>
    <w:link w:val="587"/>
    <w:qFormat/>
    <w:uiPriority w:val="11"/>
    <w:rPr>
      <w:sz w:val="24"/>
      <w:szCs w:val="24"/>
    </w:rPr>
    <w:pPr>
      <w:spacing w:after="200" w:before="200"/>
    </w:pPr>
  </w:style>
  <w:style w:type="character" w:styleId="587">
    <w:name w:val="Subtitle Char"/>
    <w:link w:val="586"/>
    <w:uiPriority w:val="11"/>
    <w:rPr>
      <w:sz w:val="24"/>
      <w:szCs w:val="24"/>
    </w:rPr>
  </w:style>
  <w:style w:type="paragraph" w:styleId="588">
    <w:name w:val="Quote"/>
    <w:link w:val="589"/>
    <w:qFormat/>
    <w:uiPriority w:val="29"/>
    <w:rPr>
      <w:i/>
    </w:rPr>
    <w:pPr>
      <w:ind w:left="720" w:right="720"/>
    </w:pPr>
  </w:style>
  <w:style w:type="character" w:styleId="589">
    <w:name w:val="Quote Char"/>
    <w:link w:val="588"/>
    <w:uiPriority w:val="29"/>
    <w:rPr>
      <w:i/>
    </w:rPr>
  </w:style>
  <w:style w:type="paragraph" w:styleId="590">
    <w:name w:val="Intense Quote"/>
    <w:link w:val="591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91">
    <w:name w:val="Intense Quote Char"/>
    <w:link w:val="590"/>
    <w:uiPriority w:val="30"/>
    <w:rPr>
      <w:i/>
    </w:rPr>
  </w:style>
  <w:style w:type="paragraph" w:styleId="592">
    <w:name w:val="Header"/>
    <w:link w:val="59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593">
    <w:name w:val="Header Char"/>
    <w:link w:val="592"/>
    <w:uiPriority w:val="99"/>
  </w:style>
  <w:style w:type="paragraph" w:styleId="594">
    <w:name w:val="Footer"/>
    <w:link w:val="59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595">
    <w:name w:val="Footer Char"/>
    <w:link w:val="594"/>
    <w:uiPriority w:val="99"/>
  </w:style>
  <w:style w:type="table" w:styleId="596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97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98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99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00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01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2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03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4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5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6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7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8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9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0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1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12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13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14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15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16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17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18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19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20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21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22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23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24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25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26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27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628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629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630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631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632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633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634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635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636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637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638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39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640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641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642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643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44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45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46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647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48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9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0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651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652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53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54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55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56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57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58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59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660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661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662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663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664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665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666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7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8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9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1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1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2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3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4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5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6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7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688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689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690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691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692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693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694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695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696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697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698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699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00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01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702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703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704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705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706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707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708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709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710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711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712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713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714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715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16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17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18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19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20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21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22">
    <w:name w:val="Hyperlink"/>
    <w:uiPriority w:val="99"/>
    <w:unhideWhenUsed/>
    <w:rPr>
      <w:color w:val="0000FF" w:themeColor="hyperlink"/>
      <w:u w:val="single"/>
    </w:rPr>
  </w:style>
  <w:style w:type="paragraph" w:styleId="723">
    <w:name w:val="footnote text"/>
    <w:link w:val="724"/>
    <w:uiPriority w:val="99"/>
    <w:semiHidden/>
    <w:unhideWhenUsed/>
    <w:rPr>
      <w:sz w:val="18"/>
    </w:rPr>
    <w:pPr>
      <w:spacing w:lineRule="auto" w:line="240" w:after="40"/>
    </w:pPr>
  </w:style>
  <w:style w:type="character" w:styleId="724">
    <w:name w:val="Footnote Text Char"/>
    <w:link w:val="723"/>
    <w:uiPriority w:val="99"/>
    <w:rPr>
      <w:sz w:val="18"/>
    </w:rPr>
  </w:style>
  <w:style w:type="character" w:styleId="725">
    <w:name w:val="footnote reference"/>
    <w:uiPriority w:val="99"/>
    <w:unhideWhenUsed/>
    <w:rPr>
      <w:vertAlign w:val="superscript"/>
    </w:rPr>
  </w:style>
  <w:style w:type="paragraph" w:styleId="726">
    <w:name w:val="toc 1"/>
    <w:uiPriority w:val="39"/>
    <w:unhideWhenUsed/>
    <w:pPr>
      <w:ind w:left="0" w:right="0" w:firstLine="0"/>
      <w:spacing w:after="57"/>
    </w:pPr>
  </w:style>
  <w:style w:type="paragraph" w:styleId="727">
    <w:name w:val="toc 2"/>
    <w:uiPriority w:val="39"/>
    <w:unhideWhenUsed/>
    <w:pPr>
      <w:ind w:left="283" w:right="0" w:firstLine="0"/>
      <w:spacing w:after="57"/>
    </w:pPr>
  </w:style>
  <w:style w:type="paragraph" w:styleId="728">
    <w:name w:val="toc 3"/>
    <w:uiPriority w:val="39"/>
    <w:unhideWhenUsed/>
    <w:pPr>
      <w:ind w:left="567" w:right="0" w:firstLine="0"/>
      <w:spacing w:after="57"/>
    </w:pPr>
  </w:style>
  <w:style w:type="paragraph" w:styleId="729">
    <w:name w:val="toc 4"/>
    <w:uiPriority w:val="39"/>
    <w:unhideWhenUsed/>
    <w:pPr>
      <w:ind w:left="850" w:right="0" w:firstLine="0"/>
      <w:spacing w:after="57"/>
    </w:pPr>
  </w:style>
  <w:style w:type="paragraph" w:styleId="730">
    <w:name w:val="toc 5"/>
    <w:uiPriority w:val="39"/>
    <w:unhideWhenUsed/>
    <w:pPr>
      <w:ind w:left="1134" w:right="0" w:firstLine="0"/>
      <w:spacing w:after="57"/>
    </w:pPr>
  </w:style>
  <w:style w:type="paragraph" w:styleId="731">
    <w:name w:val="toc 6"/>
    <w:uiPriority w:val="39"/>
    <w:unhideWhenUsed/>
    <w:pPr>
      <w:ind w:left="1417" w:right="0" w:firstLine="0"/>
      <w:spacing w:after="57"/>
    </w:pPr>
  </w:style>
  <w:style w:type="paragraph" w:styleId="732">
    <w:name w:val="toc 7"/>
    <w:uiPriority w:val="39"/>
    <w:unhideWhenUsed/>
    <w:pPr>
      <w:ind w:left="1701" w:right="0" w:firstLine="0"/>
      <w:spacing w:after="57"/>
    </w:pPr>
  </w:style>
  <w:style w:type="paragraph" w:styleId="733">
    <w:name w:val="toc 8"/>
    <w:uiPriority w:val="39"/>
    <w:unhideWhenUsed/>
    <w:pPr>
      <w:ind w:left="1984" w:right="0" w:firstLine="0"/>
      <w:spacing w:after="57"/>
    </w:pPr>
  </w:style>
  <w:style w:type="paragraph" w:styleId="734">
    <w:name w:val="toc 9"/>
    <w:uiPriority w:val="39"/>
    <w:unhideWhenUsed/>
    <w:pPr>
      <w:ind w:left="2268" w:right="0" w:firstLine="0"/>
      <w:spacing w:after="57"/>
    </w:pPr>
  </w:style>
  <w:style w:type="paragraph" w:styleId="735">
    <w:name w:val="TOC Heading"/>
    <w:uiPriority w:val="39"/>
    <w:unhideWhenUsed/>
  </w:style>
  <w:style w:type="paragraph" w:styleId="736">
    <w:name w:val="Обычный"/>
    <w:next w:val="736"/>
    <w:link w:val="736"/>
    <w:rPr>
      <w:sz w:val="26"/>
      <w:lang w:val="ru-RU" w:bidi="ar-SA" w:eastAsia="ru-RU"/>
    </w:rPr>
    <w:pPr>
      <w:ind w:firstLine="709"/>
    </w:pPr>
  </w:style>
  <w:style w:type="paragraph" w:styleId="737">
    <w:name w:val="Заголовок 1"/>
    <w:basedOn w:val="736"/>
    <w:next w:val="736"/>
    <w:link w:val="768"/>
    <w:rPr>
      <w:rFonts w:ascii="Cambria" w:hAnsi="Cambria"/>
      <w:b/>
      <w:bCs/>
      <w:sz w:val="32"/>
      <w:szCs w:val="32"/>
      <w:lang w:val="en-US" w:eastAsia="en-US"/>
    </w:rPr>
    <w:pPr>
      <w:keepNext/>
      <w:spacing w:after="60" w:before="240"/>
      <w:outlineLvl w:val="0"/>
    </w:pPr>
  </w:style>
  <w:style w:type="paragraph" w:styleId="738">
    <w:name w:val="Заголовок 2"/>
    <w:basedOn w:val="736"/>
    <w:next w:val="736"/>
    <w:link w:val="765"/>
    <w:semiHidden/>
    <w:rPr>
      <w:rFonts w:ascii="Cambria" w:hAnsi="Cambria"/>
      <w:b/>
      <w:bCs/>
      <w:i/>
      <w:iCs/>
      <w:sz w:val="28"/>
      <w:szCs w:val="28"/>
      <w:lang w:val="en-US" w:eastAsia="en-US"/>
    </w:rPr>
    <w:pPr>
      <w:keepNext/>
      <w:spacing w:after="60" w:before="240"/>
      <w:outlineLvl w:val="1"/>
    </w:pPr>
  </w:style>
  <w:style w:type="character" w:styleId="739">
    <w:name w:val="Основной шрифт абзаца"/>
    <w:next w:val="739"/>
    <w:link w:val="736"/>
    <w:semiHidden/>
  </w:style>
  <w:style w:type="table" w:styleId="740">
    <w:name w:val="Обычная таблица"/>
    <w:next w:val="740"/>
    <w:link w:val="736"/>
    <w:semiHidden/>
    <w:tblPr/>
  </w:style>
  <w:style w:type="numbering" w:styleId="741">
    <w:name w:val="Нет списка"/>
    <w:next w:val="741"/>
    <w:link w:val="736"/>
    <w:semiHidden/>
  </w:style>
  <w:style w:type="paragraph" w:styleId="742">
    <w:name w:val="Основной текст"/>
    <w:basedOn w:val="736"/>
    <w:next w:val="736"/>
    <w:link w:val="736"/>
    <w:rPr>
      <w:sz w:val="22"/>
    </w:rPr>
    <w:pPr>
      <w:ind w:firstLine="0"/>
      <w:jc w:val="both"/>
    </w:pPr>
  </w:style>
  <w:style w:type="paragraph" w:styleId="743">
    <w:name w:val="Верхний колонтитул"/>
    <w:basedOn w:val="736"/>
    <w:next w:val="743"/>
    <w:link w:val="770"/>
    <w:rPr>
      <w:b/>
      <w:caps/>
      <w:sz w:val="28"/>
      <w:lang w:val="en-US" w:eastAsia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744">
    <w:name w:val="Нижний колонтитул"/>
    <w:basedOn w:val="736"/>
    <w:next w:val="744"/>
    <w:link w:val="736"/>
    <w:pPr>
      <w:tabs>
        <w:tab w:val="center" w:pos="4153" w:leader="none"/>
        <w:tab w:val="right" w:pos="8306" w:leader="none"/>
      </w:tabs>
    </w:pPr>
  </w:style>
  <w:style w:type="character" w:styleId="745">
    <w:name w:val="Номер страницы"/>
    <w:basedOn w:val="739"/>
    <w:next w:val="745"/>
    <w:link w:val="736"/>
  </w:style>
  <w:style w:type="paragraph" w:styleId="746">
    <w:name w:val="Название объекта"/>
    <w:basedOn w:val="736"/>
    <w:next w:val="736"/>
    <w:link w:val="736"/>
    <w:rPr>
      <w:b/>
      <w:sz w:val="28"/>
    </w:rPr>
    <w:pPr>
      <w:jc w:val="center"/>
    </w:pPr>
  </w:style>
  <w:style w:type="paragraph" w:styleId="747">
    <w:name w:val="Основной текст 2"/>
    <w:basedOn w:val="736"/>
    <w:next w:val="747"/>
    <w:link w:val="736"/>
    <w:pPr>
      <w:ind w:right="5102" w:firstLine="0"/>
      <w:jc w:val="center"/>
      <w:spacing w:before="120"/>
    </w:pPr>
  </w:style>
  <w:style w:type="paragraph" w:styleId="748">
    <w:name w:val="Обращение"/>
    <w:basedOn w:val="736"/>
    <w:next w:val="736"/>
    <w:link w:val="736"/>
    <w:rPr>
      <w:b/>
    </w:rPr>
    <w:pPr>
      <w:ind w:firstLine="0"/>
      <w:jc w:val="center"/>
      <w:spacing w:after="120" w:before="240"/>
    </w:pPr>
  </w:style>
  <w:style w:type="paragraph" w:styleId="749">
    <w:name w:val="Адресные реквизиты"/>
    <w:basedOn w:val="742"/>
    <w:next w:val="742"/>
    <w:link w:val="736"/>
    <w:rPr>
      <w:sz w:val="16"/>
    </w:rPr>
    <w:pPr>
      <w:jc w:val="left"/>
    </w:pPr>
  </w:style>
  <w:style w:type="paragraph" w:styleId="750">
    <w:name w:val="Адресат"/>
    <w:basedOn w:val="736"/>
    <w:next w:val="750"/>
    <w:link w:val="736"/>
    <w:rPr>
      <w:b/>
    </w:rPr>
    <w:pPr>
      <w:ind w:firstLine="0"/>
      <w:spacing w:before="120"/>
    </w:pPr>
  </w:style>
  <w:style w:type="paragraph" w:styleId="751">
    <w:name w:val="Основной текст 3"/>
    <w:basedOn w:val="736"/>
    <w:next w:val="751"/>
    <w:link w:val="736"/>
    <w:rPr>
      <w:sz w:val="28"/>
    </w:rPr>
    <w:pPr>
      <w:ind w:firstLine="0"/>
      <w:spacing w:before="120"/>
      <w:tabs>
        <w:tab w:val="left" w:pos="7371" w:leader="none"/>
      </w:tabs>
    </w:pPr>
  </w:style>
  <w:style w:type="table" w:styleId="752">
    <w:name w:val="Сетка таблицы1"/>
    <w:basedOn w:val="740"/>
    <w:next w:val="753"/>
    <w:link w:val="736"/>
    <w:rPr>
      <w:rFonts w:ascii="Calibri" w:hAnsi="Calibri" w:eastAsia="Times New Roman"/>
      <w:sz w:val="22"/>
      <w:szCs w:val="22"/>
    </w:rPr>
    <w:tblPr/>
  </w:style>
  <w:style w:type="table" w:styleId="753">
    <w:name w:val="Сетка таблицы"/>
    <w:basedOn w:val="740"/>
    <w:next w:val="753"/>
    <w:link w:val="736"/>
    <w:tblPr/>
  </w:style>
  <w:style w:type="paragraph" w:styleId="754">
    <w:name w:val="ConsPlusNormal"/>
    <w:next w:val="754"/>
    <w:link w:val="736"/>
    <w:rPr>
      <w:sz w:val="24"/>
      <w:szCs w:val="24"/>
      <w:lang w:val="ru-RU" w:bidi="ar-SA" w:eastAsia="ru-RU"/>
    </w:rPr>
  </w:style>
  <w:style w:type="character" w:styleId="755">
    <w:name w:val="Основной текст_"/>
    <w:next w:val="755"/>
    <w:link w:val="758"/>
    <w:rPr>
      <w:spacing w:val="-2"/>
      <w:sz w:val="26"/>
      <w:szCs w:val="26"/>
      <w:shd w:val="clear" w:color="auto" w:fill="FFFFFF"/>
    </w:rPr>
  </w:style>
  <w:style w:type="character" w:styleId="756">
    <w:name w:val="Основной текст (7)_"/>
    <w:next w:val="756"/>
    <w:link w:val="759"/>
    <w:rPr>
      <w:b/>
      <w:bCs/>
      <w:spacing w:val="-3"/>
      <w:sz w:val="26"/>
      <w:szCs w:val="26"/>
      <w:shd w:val="clear" w:color="auto" w:fill="FFFFFF"/>
    </w:rPr>
  </w:style>
  <w:style w:type="character" w:styleId="757">
    <w:name w:val="Основной текст (10)_"/>
    <w:next w:val="757"/>
    <w:link w:val="760"/>
    <w:rPr>
      <w:i/>
      <w:iCs/>
      <w:spacing w:val="-4"/>
      <w:shd w:val="clear" w:color="auto" w:fill="FFFFFF"/>
    </w:rPr>
  </w:style>
  <w:style w:type="paragraph" w:styleId="758">
    <w:name w:val="Основной текст2"/>
    <w:basedOn w:val="736"/>
    <w:next w:val="758"/>
    <w:link w:val="755"/>
    <w:rPr>
      <w:spacing w:val="-2"/>
      <w:szCs w:val="26"/>
      <w:lang w:val="en-US" w:eastAsia="en-US"/>
    </w:rPr>
    <w:pPr>
      <w:ind w:firstLine="0"/>
      <w:spacing w:lineRule="atLeast" w:line="0" w:after="60"/>
      <w:shd w:val="clear" w:color="auto" w:fill="FFFFFF"/>
      <w:widowControl w:val="off"/>
    </w:pPr>
  </w:style>
  <w:style w:type="paragraph" w:styleId="759">
    <w:name w:val="Основной текст (7)"/>
    <w:basedOn w:val="736"/>
    <w:next w:val="759"/>
    <w:link w:val="756"/>
    <w:rPr>
      <w:b/>
      <w:bCs/>
      <w:spacing w:val="-3"/>
      <w:szCs w:val="26"/>
      <w:lang w:val="en-US" w:eastAsia="en-US"/>
    </w:rPr>
    <w:pPr>
      <w:ind w:firstLine="0"/>
      <w:spacing w:lineRule="atLeast" w:line="0"/>
      <w:shd w:val="clear" w:color="auto" w:fill="FFFFFF"/>
      <w:widowControl w:val="off"/>
    </w:pPr>
  </w:style>
  <w:style w:type="paragraph" w:styleId="760">
    <w:name w:val="Основной текст (10)"/>
    <w:basedOn w:val="736"/>
    <w:next w:val="760"/>
    <w:link w:val="757"/>
    <w:rPr>
      <w:i/>
      <w:iCs/>
      <w:spacing w:val="-4"/>
      <w:sz w:val="20"/>
      <w:lang w:val="en-US" w:eastAsia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761">
    <w:name w:val="Абзац списка"/>
    <w:basedOn w:val="736"/>
    <w:next w:val="761"/>
    <w:link w:val="736"/>
    <w:rPr>
      <w:sz w:val="20"/>
    </w:rPr>
    <w:pPr>
      <w:contextualSpacing w:val="true"/>
      <w:ind w:left="720" w:firstLine="0"/>
    </w:pPr>
  </w:style>
  <w:style w:type="paragraph" w:styleId="762">
    <w:name w:val="Обычный (веб)"/>
    <w:basedOn w:val="736"/>
    <w:next w:val="762"/>
    <w:link w:val="736"/>
    <w:rPr>
      <w:sz w:val="24"/>
      <w:szCs w:val="24"/>
    </w:rPr>
    <w:pPr>
      <w:ind w:firstLine="0"/>
      <w:spacing w:after="100" w:afterAutospacing="1" w:before="100" w:beforeAutospacing="1"/>
    </w:pPr>
  </w:style>
  <w:style w:type="paragraph" w:styleId="763">
    <w:name w:val=" Знак Знак Знак Знак Знак Знак Знак Знак Знак Знак Знак Знак Знак Знак Знак1 Знак Знак Знак Знак"/>
    <w:basedOn w:val="736"/>
    <w:next w:val="738"/>
    <w:link w:val="736"/>
    <w:rPr>
      <w:sz w:val="24"/>
      <w:lang w:val="en-US" w:eastAsia="en-US"/>
    </w:rPr>
    <w:pPr>
      <w:spacing w:lineRule="exact" w:line="240" w:after="160"/>
    </w:pPr>
  </w:style>
  <w:style w:type="paragraph" w:styleId="764">
    <w:name w:val="ConsPlusTitle"/>
    <w:next w:val="764"/>
    <w:link w:val="736"/>
    <w:rPr>
      <w:b/>
      <w:bCs/>
      <w:sz w:val="24"/>
      <w:szCs w:val="24"/>
      <w:lang w:val="ru-RU" w:bidi="ar-SA" w:eastAsia="ru-RU"/>
    </w:rPr>
    <w:pPr>
      <w:widowControl w:val="off"/>
    </w:pPr>
  </w:style>
  <w:style w:type="character" w:styleId="765">
    <w:name w:val="Заголовок 2 Знак"/>
    <w:next w:val="765"/>
    <w:link w:val="738"/>
    <w:semiHidden/>
    <w:rPr>
      <w:rFonts w:ascii="Cambria" w:hAnsi="Cambria" w:eastAsia="Times New Roman"/>
      <w:b/>
      <w:bCs/>
      <w:i/>
      <w:iCs/>
      <w:sz w:val="28"/>
      <w:szCs w:val="28"/>
    </w:rPr>
  </w:style>
  <w:style w:type="character" w:styleId="766">
    <w:name w:val="Гиперссылка"/>
    <w:next w:val="766"/>
    <w:link w:val="736"/>
    <w:rPr>
      <w:color w:val="0000FF"/>
      <w:u w:val="single"/>
    </w:rPr>
  </w:style>
  <w:style w:type="paragraph" w:styleId="767">
    <w:name w:val="Исполнитель"/>
    <w:basedOn w:val="736"/>
    <w:next w:val="767"/>
    <w:link w:val="736"/>
    <w:rPr>
      <w:sz w:val="20"/>
    </w:rPr>
    <w:pPr>
      <w:ind w:firstLine="0"/>
    </w:pPr>
  </w:style>
  <w:style w:type="character" w:styleId="768">
    <w:name w:val="Заголовок 1 Знак"/>
    <w:next w:val="768"/>
    <w:link w:val="737"/>
    <w:rPr>
      <w:rFonts w:ascii="Cambria" w:hAnsi="Cambria"/>
      <w:b/>
      <w:bCs/>
      <w:sz w:val="32"/>
      <w:szCs w:val="32"/>
    </w:rPr>
  </w:style>
  <w:style w:type="paragraph" w:styleId="769">
    <w:name w:val="Обычный1"/>
    <w:next w:val="769"/>
    <w:link w:val="736"/>
    <w:rPr>
      <w:lang w:val="ru-RU" w:bidi="ar-SA" w:eastAsia="ru-RU"/>
    </w:rPr>
  </w:style>
  <w:style w:type="character" w:styleId="770">
    <w:name w:val="Верхний колонтитул Знак"/>
    <w:next w:val="770"/>
    <w:link w:val="743"/>
    <w:rPr>
      <w:b/>
      <w:caps/>
      <w:sz w:val="28"/>
    </w:rPr>
  </w:style>
  <w:style w:type="paragraph" w:styleId="771">
    <w:name w:val="Default"/>
    <w:next w:val="771"/>
    <w:link w:val="736"/>
    <w:rPr>
      <w:rFonts w:ascii="Arial" w:hAnsi="Arial"/>
      <w:color w:val="000000"/>
      <w:sz w:val="24"/>
      <w:szCs w:val="24"/>
      <w:lang w:val="ru-RU" w:bidi="ar-SA" w:eastAsia="ru-RU"/>
    </w:rPr>
  </w:style>
  <w:style w:type="character" w:styleId="772">
    <w:name w:val="Основной текст (6)_"/>
    <w:next w:val="772"/>
    <w:link w:val="773"/>
    <w:rPr>
      <w:b/>
      <w:bCs/>
      <w:i/>
      <w:iCs/>
      <w:sz w:val="26"/>
      <w:szCs w:val="26"/>
      <w:shd w:val="clear" w:color="auto" w:fill="FFFFFF"/>
    </w:rPr>
  </w:style>
  <w:style w:type="paragraph" w:styleId="773">
    <w:name w:val="Основной текст (6)"/>
    <w:basedOn w:val="736"/>
    <w:next w:val="773"/>
    <w:link w:val="772"/>
    <w:rPr>
      <w:b/>
      <w:bCs/>
      <w:i/>
      <w:iCs/>
      <w:szCs w:val="26"/>
      <w:lang w:val="en-US" w:eastAsia="en-US"/>
    </w:rPr>
    <w:pPr>
      <w:ind w:firstLine="0"/>
      <w:jc w:val="center"/>
      <w:spacing w:lineRule="exact" w:line="360" w:before="300"/>
      <w:shd w:val="clear" w:color="auto" w:fill="FFFFFF"/>
      <w:widowControl w:val="off"/>
    </w:pPr>
  </w:style>
  <w:style w:type="character" w:styleId="774">
    <w:name w:val="Основной текст (6) + Tahoma;12 pt;Не курсив;Интервал 1 pt"/>
    <w:next w:val="774"/>
    <w:link w:val="736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775">
    <w:name w:val="Текст выноски"/>
    <w:basedOn w:val="736"/>
    <w:next w:val="775"/>
    <w:link w:val="776"/>
    <w:rPr>
      <w:rFonts w:ascii="Tahoma" w:hAnsi="Tahoma"/>
      <w:sz w:val="16"/>
      <w:szCs w:val="16"/>
      <w:lang w:val="en-US" w:eastAsia="en-US"/>
    </w:rPr>
  </w:style>
  <w:style w:type="character" w:styleId="776">
    <w:name w:val="Текст выноски Знак"/>
    <w:next w:val="776"/>
    <w:link w:val="775"/>
    <w:rPr>
      <w:rFonts w:ascii="Tahoma" w:hAnsi="Tahoma"/>
      <w:sz w:val="16"/>
      <w:szCs w:val="16"/>
    </w:rPr>
  </w:style>
  <w:style w:type="character" w:styleId="777">
    <w:name w:val="Font Style21"/>
    <w:basedOn w:val="739"/>
    <w:next w:val="777"/>
    <w:link w:val="736"/>
    <w:rPr>
      <w:rFonts w:ascii="Times New Roman" w:hAnsi="Times New Roman"/>
      <w:sz w:val="26"/>
      <w:szCs w:val="26"/>
    </w:rPr>
  </w:style>
  <w:style w:type="character" w:styleId="778">
    <w:name w:val="Строгий"/>
    <w:next w:val="778"/>
    <w:link w:val="736"/>
    <w:rPr>
      <w:b/>
      <w:bCs/>
    </w:rPr>
  </w:style>
  <w:style w:type="paragraph" w:styleId="779">
    <w:name w:val="Без интервала"/>
    <w:next w:val="779"/>
    <w:link w:val="736"/>
    <w:rPr>
      <w:sz w:val="26"/>
      <w:lang w:val="ru-RU" w:bidi="ar-SA" w:eastAsia="ru-RU"/>
    </w:rPr>
    <w:pPr>
      <w:ind w:firstLine="709"/>
    </w:pPr>
  </w:style>
  <w:style w:type="character" w:styleId="780" w:default="1">
    <w:name w:val="Default Paragraph Font"/>
    <w:uiPriority w:val="1"/>
    <w:semiHidden/>
    <w:unhideWhenUsed/>
  </w:style>
  <w:style w:type="numbering" w:styleId="781" w:default="1">
    <w:name w:val="No List"/>
    <w:uiPriority w:val="99"/>
    <w:semiHidden/>
    <w:unhideWhenUsed/>
  </w:style>
  <w:style w:type="paragraph" w:styleId="782" w:default="1">
    <w:name w:val="Normal"/>
    <w:qFormat/>
  </w:style>
  <w:style w:type="table" w:styleId="783" w:default="1">
    <w:name w:val="Normal Table"/>
    <w:uiPriority w:val="99"/>
    <w:semiHidden/>
    <w:unhideWhenUsed/>
    <w:tblPr/>
  </w:style>
  <w:style w:type="character" w:styleId="784">
    <w:name w:val="Strong"/>
    <w:rPr>
      <w:b/>
    </w:rPr>
  </w:style>
  <w:style w:type="paragraph" w:styleId="785" w:customStyle="1">
    <w:name w:val="Абзац списка5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86">
    <w:name w:val="Body Text Indent 2"/>
    <w:basedOn w:val="567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8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20"/>
      <w:jc w:val="both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87" w:customStyle="1">
    <w:name w:val="ConsPlusNonformat"/>
    <w:rPr>
      <w:rFonts w:ascii="Courier New" w:hAnsi="Courier New" w:cs="Courier New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0"/>
      <w:szCs w:val="20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 w:val="off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788" w:customStyle="1">
    <w:name w:val="Сетка таблицы2"/>
    <w:uiPriority w:val="59"/>
    <w:rPr>
      <w:rFonts w:ascii="Calibri" w:hAnsi="Calibri" w:cs="Calibri" w:eastAsia="Calibri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tblPr>
      <w:tblStyleRowBandSize w:val="1"/>
      <w:tblStyleColBandSize w:val="1"/>
      <w:tblW w:w="0" w:type="auto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  <w:style w:type="paragraph" w:styleId="789">
    <w:name w:val="Основной текст с отступом 2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en-US" w:bidi="ar-SA" w:eastAsia="en-US"/>
    </w:rPr>
    <w:pPr>
      <w:contextualSpacing w:val="false"/>
      <w:ind w:left="283" w:right="0" w:firstLine="709"/>
      <w:jc w:val="left"/>
      <w:keepLines w:val="false"/>
      <w:keepNext w:val="false"/>
      <w:pageBreakBefore w:val="false"/>
      <w:spacing w:lineRule="auto" w:line="480" w:after="12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90">
    <w:name w:val="Основной текст с отступом 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16"/>
      <w:szCs w:val="16"/>
      <w:u w:val="none"/>
      <w:vertAlign w:val="baseline"/>
      <w:rtl w:val="false"/>
      <w:cs w:val="false"/>
      <w:lang w:val="en-US" w:bidi="ar-SA" w:eastAsia="en-US"/>
    </w:rPr>
    <w:pPr>
      <w:contextualSpacing w:val="false"/>
      <w:ind w:left="283" w:right="0" w:firstLine="709"/>
      <w:jc w:val="left"/>
      <w:keepLines w:val="false"/>
      <w:keepNext w:val="false"/>
      <w:pageBreakBefore w:val="false"/>
      <w:spacing w:lineRule="auto" w:line="240" w:after="12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38</cp:revision>
  <dcterms:modified xsi:type="dcterms:W3CDTF">2021-03-31T10:00:23Z</dcterms:modified>
</cp:coreProperties>
</file>