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119"/>
      </w:tblGrid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pStyle w:val="818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26.12.2022</w:t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pStyle w:val="818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/>
                <w:spacing w:val="20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pStyle w:val="818"/>
              <w:ind w:right="-142"/>
              <w:jc w:val="center"/>
              <w:rPr>
                <w:rFonts w:ascii="PT Astra Serif" w:hAnsi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     №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0266/01-07</w:t>
            </w:r>
            <w:r/>
          </w:p>
        </w:tc>
      </w:tr>
      <w:tr>
        <w:trPr>
          <w:trHeight w:val="364"/>
        </w:trPr>
        <w:tc>
          <w:tcPr>
            <w:gridSpan w:val="3"/>
            <w:tcW w:w="9498" w:type="dxa"/>
            <w:textDirection w:val="lrTb"/>
            <w:noWrap w:val="false"/>
          </w:tcPr>
          <w:p>
            <w:pPr>
              <w:pStyle w:val="827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  <w:r>
              <w:rPr>
                <w:rFonts w:ascii="PT Astra Serif" w:hAnsi="PT Astra Serif"/>
                <w:spacing w:val="20"/>
                <w:sz w:val="48"/>
                <w:szCs w:val="48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W w:w="9498" w:type="dxa"/>
            <w:textDirection w:val="lrTb"/>
            <w:noWrap w:val="false"/>
          </w:tcPr>
          <w:p>
            <w:pPr>
              <w:pStyle w:val="827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«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Поселение Утка–</w:t>
            </w:r>
            <w:r>
              <w:rPr>
                <w:rFonts w:ascii="PT Astra Serif" w:hAnsi="PT Astra Serif"/>
                <w:sz w:val="26"/>
                <w:szCs w:val="26"/>
              </w:rPr>
              <w:t xml:space="preserve">I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»</w:t>
            </w:r>
            <w:r/>
          </w:p>
        </w:tc>
      </w:tr>
    </w:tbl>
    <w:p>
      <w:pPr>
        <w:pStyle w:val="818"/>
        <w:ind w:firstLine="709"/>
        <w:jc w:val="both"/>
        <w:tabs>
          <w:tab w:val="left" w:pos="705" w:leader="none"/>
        </w:tabs>
        <w:rPr>
          <w:rFonts w:ascii="PT Astra Serif" w:hAnsi="PT Astra Serif"/>
          <w:sz w:val="26"/>
          <w:szCs w:val="26"/>
        </w:rPr>
      </w:pPr>
      <w:r/>
      <w:bookmarkStart w:id="0" w:name="ТекстовоеПоле2"/>
      <w:r>
        <w:rPr>
          <w:rFonts w:ascii="PT Astra Serif" w:hAnsi="PT Astra Serif"/>
          <w:sz w:val="26"/>
          <w:szCs w:val="26"/>
        </w:rPr>
        <w:tab/>
      </w:r>
      <w:r/>
    </w:p>
    <w:p>
      <w:pPr>
        <w:ind w:firstLine="709"/>
        <w:jc w:val="both"/>
        <w:spacing w:lineRule="atLeast" w:line="26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Федеральным законом</w:t>
      </w:r>
      <w:r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Законом</w:t>
      </w:r>
      <w:r>
        <w:rPr>
          <w:rFonts w:ascii="PT Astra Serif" w:hAnsi="PT Astra Serif"/>
          <w:sz w:val="26"/>
          <w:szCs w:val="26"/>
        </w:rPr>
        <w:t xml:space="preserve"> Томской области от </w:t>
      </w:r>
      <w:r>
        <w:rPr>
          <w:rFonts w:ascii="PT Astra Serif" w:hAnsi="PT Astra Serif"/>
          <w:sz w:val="26"/>
          <w:szCs w:val="26"/>
        </w:rPr>
        <w:t xml:space="preserve">06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сентября</w:t>
      </w:r>
      <w:r>
        <w:rPr>
          <w:rFonts w:ascii="PT Astra Serif" w:hAnsi="PT Astra Serif"/>
          <w:sz w:val="26"/>
          <w:szCs w:val="26"/>
        </w:rPr>
        <w:t xml:space="preserve"> 20</w:t>
      </w: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6</w:t>
      </w:r>
      <w:r>
        <w:rPr>
          <w:rFonts w:ascii="PT Astra Serif" w:hAnsi="PT Astra Serif"/>
          <w:sz w:val="26"/>
          <w:szCs w:val="26"/>
        </w:rPr>
        <w:t xml:space="preserve"> года</w:t>
      </w:r>
      <w:r>
        <w:rPr>
          <w:rFonts w:ascii="PT Astra Serif" w:hAnsi="PT Astra Serif"/>
          <w:sz w:val="26"/>
          <w:szCs w:val="26"/>
        </w:rPr>
        <w:t xml:space="preserve"> №</w:t>
      </w:r>
      <w:r>
        <w:rPr>
          <w:rFonts w:ascii="PT Astra Serif" w:hAnsi="PT Astra Serif"/>
          <w:sz w:val="26"/>
          <w:szCs w:val="26"/>
        </w:rPr>
        <w:t xml:space="preserve"> 98</w:t>
      </w:r>
      <w:r>
        <w:rPr>
          <w:rFonts w:ascii="PT Astra Serif" w:hAnsi="PT Astra Serif"/>
          <w:sz w:val="26"/>
          <w:szCs w:val="26"/>
        </w:rPr>
        <w:t xml:space="preserve">-ОЗ «Об объектах культурного наследия (памятниках истории и культуры) Томской области»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Положением</w:t>
      </w:r>
      <w:r>
        <w:rPr>
          <w:rFonts w:ascii="PT Astra Serif" w:hAnsi="PT Astra Serif"/>
          <w:sz w:val="26"/>
          <w:szCs w:val="26"/>
        </w:rPr>
        <w:t xml:space="preserve"> о </w:t>
      </w:r>
      <w:r>
        <w:rPr>
          <w:rFonts w:ascii="PT Astra Serif" w:hAnsi="PT Astra Serif"/>
          <w:sz w:val="26"/>
          <w:szCs w:val="26"/>
        </w:rPr>
        <w:t xml:space="preserve">К</w:t>
      </w:r>
      <w:r>
        <w:rPr>
          <w:rFonts w:ascii="PT Astra Serif" w:hAnsi="PT Astra Serif"/>
          <w:sz w:val="26"/>
          <w:szCs w:val="26"/>
        </w:rPr>
        <w:t xml:space="preserve">омитете по охране объектов культурного наследи</w:t>
      </w:r>
      <w:r>
        <w:rPr>
          <w:rFonts w:ascii="PT Astra Serif" w:hAnsi="PT Astra Serif"/>
          <w:sz w:val="26"/>
          <w:szCs w:val="26"/>
        </w:rPr>
        <w:t xml:space="preserve">я Томской области, утвержденным</w:t>
      </w:r>
      <w:r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r>
        <w:rPr>
          <w:rFonts w:ascii="PT Astra Serif" w:hAnsi="PT Astra Serif"/>
          <w:sz w:val="26"/>
          <w:szCs w:val="26"/>
        </w:rPr>
        <w:t xml:space="preserve"> года № 37</w:t>
      </w:r>
      <w:r>
        <w:rPr>
          <w:rFonts w:ascii="PT Astra Serif" w:hAnsi="PT Astra Serif"/>
          <w:sz w:val="26"/>
          <w:szCs w:val="26"/>
        </w:rPr>
        <w:t xml:space="preserve">,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 целях обеспечения сохранности объекта</w:t>
      </w:r>
      <w:r>
        <w:rPr>
          <w:rFonts w:ascii="PT Astra Serif" w:hAnsi="PT Astra Serif"/>
          <w:sz w:val="26"/>
          <w:szCs w:val="26"/>
        </w:rPr>
        <w:t xml:space="preserve"> культурного наследия</w:t>
      </w:r>
      <w:r/>
    </w:p>
    <w:p>
      <w:pPr>
        <w:pStyle w:val="831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ПРИКАЗЫВАЮ:</w:t>
      </w:r>
      <w:bookmarkEnd w:id="0"/>
      <w:r/>
    </w:p>
    <w:p>
      <w:pPr>
        <w:pStyle w:val="848"/>
        <w:numPr>
          <w:ilvl w:val="0"/>
          <w:numId w:val="44"/>
        </w:numPr>
        <w:ind w:left="0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  <w:t xml:space="preserve">Утвердить границы территории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b w:val="false"/>
          <w:sz w:val="26"/>
          <w:szCs w:val="26"/>
        </w:rPr>
        <w:t xml:space="preserve">объекта культурного наследия федерального значения </w:t>
      </w:r>
      <w:r>
        <w:rPr>
          <w:rFonts w:ascii="PT Astra Serif" w:hAnsi="PT Astra Serif"/>
          <w:b w:val="false"/>
          <w:sz w:val="26"/>
          <w:szCs w:val="26"/>
        </w:rPr>
        <w:t xml:space="preserve">«</w:t>
      </w:r>
      <w:r>
        <w:rPr>
          <w:rFonts w:ascii="PT Astra Serif" w:hAnsi="PT Astra Serif"/>
          <w:b w:val="false"/>
          <w:sz w:val="26"/>
          <w:szCs w:val="26"/>
        </w:rPr>
        <w:t xml:space="preserve">Поселение Утка–</w:t>
      </w:r>
      <w:r>
        <w:rPr>
          <w:rFonts w:ascii="PT Astra Serif" w:hAnsi="PT Astra Serif"/>
          <w:b w:val="false"/>
          <w:sz w:val="26"/>
          <w:szCs w:val="26"/>
        </w:rPr>
        <w:t xml:space="preserve">I</w:t>
      </w:r>
      <w:r>
        <w:rPr>
          <w:rFonts w:ascii="PT Astra Serif" w:hAnsi="PT Astra Serif"/>
          <w:b w:val="false"/>
          <w:sz w:val="26"/>
          <w:szCs w:val="26"/>
        </w:rPr>
        <w:t xml:space="preserve">»</w:t>
      </w:r>
      <w:r>
        <w:rPr>
          <w:rFonts w:ascii="PT Astra Serif" w:hAnsi="PT Astra Serif"/>
          <w:b w:val="false"/>
          <w:sz w:val="26"/>
          <w:szCs w:val="26"/>
        </w:rPr>
        <w:t xml:space="preserve">, расположенного </w:t>
      </w:r>
      <w:r>
        <w:rPr>
          <w:rFonts w:ascii="PT Astra Serif" w:hAnsi="PT Astra Serif"/>
          <w:b w:val="false"/>
          <w:sz w:val="26"/>
          <w:szCs w:val="26"/>
        </w:rPr>
        <w:t xml:space="preserve">на территории </w:t>
      </w:r>
      <w:r>
        <w:rPr>
          <w:rFonts w:ascii="PT Astra Serif" w:hAnsi="PT Astra Serif"/>
          <w:b w:val="false"/>
          <w:sz w:val="26"/>
          <w:szCs w:val="26"/>
        </w:rPr>
        <w:t xml:space="preserve">Верхнекетского</w:t>
      </w:r>
      <w:r>
        <w:rPr>
          <w:rFonts w:ascii="PT Astra Serif" w:hAnsi="PT Astra Serif"/>
          <w:b w:val="false"/>
          <w:sz w:val="26"/>
          <w:szCs w:val="26"/>
        </w:rPr>
        <w:t xml:space="preserve"> района </w:t>
      </w:r>
      <w:r>
        <w:rPr>
          <w:rFonts w:ascii="PT Astra Serif" w:hAnsi="PT Astra Serif"/>
          <w:b w:val="false"/>
          <w:sz w:val="26"/>
          <w:szCs w:val="26"/>
        </w:rPr>
        <w:t xml:space="preserve">Томской области</w:t>
      </w:r>
      <w:r>
        <w:rPr>
          <w:rFonts w:ascii="PT Astra Serif" w:hAnsi="PT Astra Serif"/>
          <w:b w:val="false"/>
          <w:sz w:val="26"/>
          <w:szCs w:val="26"/>
        </w:rPr>
        <w:t xml:space="preserve">, в соответствии с </w:t>
      </w:r>
      <w:r>
        <w:rPr>
          <w:rFonts w:ascii="PT Astra Serif" w:hAnsi="PT Astra Serif"/>
          <w:b w:val="false"/>
          <w:sz w:val="26"/>
          <w:szCs w:val="26"/>
        </w:rPr>
        <w:t xml:space="preserve">приложением к настоящему приказу.</w:t>
      </w:r>
      <w:r/>
    </w:p>
    <w:p>
      <w:pPr>
        <w:pStyle w:val="848"/>
        <w:numPr>
          <w:ilvl w:val="0"/>
          <w:numId w:val="44"/>
        </w:numPr>
        <w:ind w:left="0" w:firstLine="709"/>
        <w:jc w:val="both"/>
        <w:widowControl/>
        <w:tabs>
          <w:tab w:val="left" w:pos="426" w:leader="none"/>
          <w:tab w:val="left" w:pos="993" w:leader="none"/>
        </w:tabs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  <w:t xml:space="preserve">Установить особый режим использования земель в границах территории </w:t>
      </w:r>
      <w:r>
        <w:rPr>
          <w:rFonts w:ascii="PT Astra Serif" w:hAnsi="PT Astra Serif"/>
          <w:b w:val="false"/>
          <w:sz w:val="26"/>
          <w:szCs w:val="26"/>
        </w:rPr>
        <w:t xml:space="preserve">объекта культурного наследия федерального значения </w:t>
      </w:r>
      <w:r>
        <w:rPr>
          <w:rFonts w:ascii="PT Astra Serif" w:hAnsi="PT Astra Serif"/>
          <w:b w:val="false"/>
          <w:sz w:val="26"/>
          <w:szCs w:val="26"/>
        </w:rPr>
        <w:t xml:space="preserve">«</w:t>
      </w:r>
      <w:r>
        <w:rPr>
          <w:rFonts w:ascii="PT Astra Serif" w:hAnsi="PT Astra Serif"/>
          <w:b w:val="false"/>
          <w:sz w:val="26"/>
          <w:szCs w:val="26"/>
        </w:rPr>
        <w:t xml:space="preserve">Поселение Утка–</w:t>
      </w:r>
      <w:r>
        <w:rPr>
          <w:rFonts w:ascii="PT Astra Serif" w:hAnsi="PT Astra Serif"/>
          <w:b w:val="false"/>
          <w:sz w:val="26"/>
          <w:szCs w:val="26"/>
        </w:rPr>
        <w:t xml:space="preserve">I</w:t>
      </w:r>
      <w:r>
        <w:rPr>
          <w:rFonts w:ascii="PT Astra Serif" w:hAnsi="PT Astra Serif"/>
          <w:b w:val="false"/>
          <w:sz w:val="26"/>
          <w:szCs w:val="26"/>
        </w:rPr>
        <w:t xml:space="preserve">»</w:t>
      </w:r>
      <w:r>
        <w:rPr>
          <w:rFonts w:ascii="PT Astra Serif" w:hAnsi="PT Astra Serif"/>
          <w:b w:val="false"/>
          <w:sz w:val="26"/>
          <w:szCs w:val="26"/>
        </w:rPr>
        <w:t xml:space="preserve">,</w:t>
      </w:r>
      <w:r>
        <w:rPr>
          <w:rFonts w:ascii="PT Astra Serif" w:hAnsi="PT Astra Serif"/>
          <w:b w:val="false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>
        <w:rPr>
          <w:rFonts w:ascii="PT Astra Serif" w:hAnsi="PT Astra Serif"/>
          <w:b w:val="false"/>
          <w:sz w:val="26"/>
          <w:szCs w:val="26"/>
        </w:rPr>
        <w:t xml:space="preserve">.</w:t>
      </w:r>
      <w:r/>
    </w:p>
    <w:p>
      <w:pPr>
        <w:numPr>
          <w:ilvl w:val="0"/>
          <w:numId w:val="44"/>
        </w:numPr>
        <w:ind w:left="0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 w:eastAsia="TimesNewRomanPSMT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Контроль за</w:t>
      </w:r>
      <w:r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  <w:r/>
    </w:p>
    <w:p>
      <w:pPr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/>
    </w:p>
    <w:p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/>
    </w:p>
    <w:tbl>
      <w:tblPr>
        <w:tblStyle w:val="837"/>
        <w:tblW w:w="9639" w:type="dxa"/>
        <w:tblInd w:w="108" w:type="dxa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439"/>
      </w:tblGrid>
      <w:tr>
        <w:trPr/>
        <w:tc>
          <w:tcPr>
            <w:tcW w:w="3686" w:type="dxa"/>
            <w:textDirection w:val="lrTb"/>
            <w:noWrap w:val="false"/>
          </w:tcPr>
          <w:p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W w:w="3514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  <w:r/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243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Е.В. Перетягина</w:t>
            </w:r>
            <w:r/>
          </w:p>
        </w:tc>
      </w:tr>
      <w:tr>
        <w:trPr/>
        <w:tc>
          <w:tcPr>
            <w:tcW w:w="3686" w:type="dxa"/>
            <w:textDirection w:val="lrTb"/>
            <w:noWrap w:val="false"/>
          </w:tcPr>
          <w:p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3514" w:type="dxa"/>
            <w:vMerge w:val="continue"/>
            <w:textDirection w:val="lrTb"/>
            <w:noWrap w:val="false"/>
          </w:tcPr>
          <w:p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2439" w:type="dxa"/>
            <w:textDirection w:val="lrTb"/>
            <w:noWrap w:val="false"/>
          </w:tcPr>
          <w:p>
            <w:pPr>
              <w:ind w:right="-142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pStyle w:val="844"/>
        <w:ind w:right="-142"/>
        <w:spacing w:lineRule="auto" w:line="276"/>
        <w:rPr>
          <w:rFonts w:ascii="PT Astra Serif" w:hAnsi="PT Astra Serif"/>
          <w:sz w:val="26"/>
          <w:szCs w:val="26"/>
        </w:rPr>
        <w:sectPr>
          <w:headerReference w:type="even" r:id="rId9"/>
          <w:headerReference w:type="first" r:id="rId10"/>
          <w:footerReference w:type="first" r:id="rId12"/>
          <w:footnotePr/>
          <w:endnotePr/>
          <w:type w:val="nextColumn"/>
          <w:pgSz w:w="11907" w:h="16840" w:orient="portrait"/>
          <w:pgMar w:top="709" w:right="708" w:bottom="709" w:left="1701" w:header="567" w:footer="448" w:gutter="0"/>
          <w:cols w:num="1" w:sep="0" w:space="720" w:equalWidth="1"/>
          <w:docGrid w:linePitch="360"/>
          <w:titlePg/>
        </w:sectPr>
      </w:pPr>
      <w:r>
        <w:rPr>
          <w:rFonts w:ascii="PT Astra Serif" w:hAnsi="PT Astra Serif"/>
          <w:sz w:val="26"/>
          <w:szCs w:val="26"/>
        </w:rPr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Приложение </w:t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приказу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Комитета по охране объектов</w:t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культурного наследия Томской области</w:t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 26.12.2022    №  0266/01-07</w:t>
      </w:r>
      <w:r/>
    </w:p>
    <w:p>
      <w:pPr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852"/>
        <w:numPr>
          <w:ilvl w:val="0"/>
          <w:numId w:val="49"/>
        </w:numPr>
        <w:ind w:left="851" w:hanging="488"/>
        <w:jc w:val="center"/>
        <w:spacing w:after="12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Схема границ </w:t>
      </w:r>
      <w:r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Поселение Утка–</w:t>
      </w:r>
      <w:r>
        <w:rPr>
          <w:rFonts w:ascii="PT Astra Serif" w:hAnsi="PT Astra Serif"/>
          <w:sz w:val="26"/>
          <w:szCs w:val="26"/>
        </w:rPr>
        <w:t xml:space="preserve">I</w:t>
      </w:r>
      <w:r>
        <w:rPr>
          <w:rFonts w:ascii="PT Astra Serif" w:hAnsi="PT Astra Serif"/>
          <w:sz w:val="26"/>
          <w:szCs w:val="26"/>
        </w:rPr>
        <w:t xml:space="preserve">»</w:t>
      </w:r>
      <w:r/>
    </w:p>
    <w:tbl>
      <w:tblPr>
        <w:tblW w:w="0" w:type="auto"/>
        <w:jc w:val="center"/>
        <w:tblInd w:w="1212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ook w:val="0000" w:firstRow="0" w:lastRow="0" w:firstColumn="0" w:lastColumn="0" w:noHBand="0" w:noVBand="0"/>
      </w:tblPr>
      <w:tblGrid>
        <w:gridCol w:w="7275"/>
      </w:tblGrid>
      <w:tr>
        <w:trPr>
          <w:jc w:val="center"/>
          <w:trHeight w:val="5043"/>
        </w:trPr>
        <w:tc>
          <w:tcPr>
            <w:tcW w:w="7275" w:type="dxa"/>
            <w:vAlign w:val="center"/>
            <w:textDirection w:val="lrTb"/>
            <w:noWrap w:val="false"/>
          </w:tcPr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Информация скрыта</w:t>
            </w:r>
            <w:r>
              <w:rPr>
                <w:sz w:val="26"/>
                <w:szCs w:val="26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в соответствии</w:t>
            </w:r>
            <w:r>
              <w:rPr>
                <w:sz w:val="26"/>
                <w:szCs w:val="26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с приказом Минкультуры России</w:t>
            </w:r>
            <w:r>
              <w:rPr>
                <w:sz w:val="26"/>
                <w:szCs w:val="26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от 01.09.2015 № 2328</w:t>
            </w:r>
            <w:r>
              <w:rPr>
                <w:sz w:val="24"/>
                <w:szCs w:val="24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  <w:r/>
          </w:p>
        </w:tc>
      </w:tr>
    </w:tbl>
    <w:p>
      <w:pPr>
        <w:jc w:val="center"/>
        <w:rPr>
          <w:sz w:val="26"/>
          <w:szCs w:val="26"/>
        </w:rPr>
      </w:pPr>
      <w:r/>
      <w:bookmarkStart w:id="1" w:name="_GoBack"/>
      <w:r/>
      <w:bookmarkEnd w:id="1"/>
      <w:r/>
      <w:r/>
    </w:p>
    <w:p>
      <w:pPr>
        <w:pStyle w:val="852"/>
        <w:numPr>
          <w:ilvl w:val="0"/>
          <w:numId w:val="49"/>
        </w:numPr>
        <w:ind w:left="0" w:firstLine="0"/>
        <w:jc w:val="center"/>
        <w:tabs>
          <w:tab w:val="left" w:pos="567" w:leader="none"/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Перечень </w:t>
      </w:r>
      <w:r>
        <w:rPr>
          <w:rFonts w:ascii="PT Astra Serif" w:hAnsi="PT Astra Serif"/>
          <w:sz w:val="26"/>
          <w:szCs w:val="26"/>
        </w:rPr>
        <w:t xml:space="preserve">координат характерных точек границ территории </w:t>
      </w:r>
      <w:r>
        <w:rPr>
          <w:rFonts w:ascii="PT Astra Serif" w:hAnsi="PT Astra Serif"/>
          <w:sz w:val="26"/>
          <w:szCs w:val="26"/>
        </w:rPr>
        <w:t xml:space="preserve">объекта культурного наследия федерального</w:t>
      </w:r>
      <w:r>
        <w:rPr>
          <w:rFonts w:ascii="PT Astra Serif" w:hAnsi="PT Astra Serif"/>
          <w:sz w:val="26"/>
          <w:szCs w:val="26"/>
        </w:rPr>
        <w:t xml:space="preserve"> значения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Поселение Утка–I</w:t>
      </w:r>
      <w:r>
        <w:rPr>
          <w:rFonts w:ascii="PT Astra Serif" w:hAnsi="PT Astra Serif"/>
          <w:sz w:val="26"/>
          <w:szCs w:val="26"/>
        </w:rPr>
        <w:t xml:space="preserve">»</w:t>
      </w:r>
      <w:r/>
    </w:p>
    <w:tbl>
      <w:tblPr>
        <w:tblW w:w="0" w:type="auto"/>
        <w:jc w:val="center"/>
        <w:tblInd w:w="1212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ook w:val="0000" w:firstRow="0" w:lastRow="0" w:firstColumn="0" w:lastColumn="0" w:noHBand="0" w:noVBand="0"/>
      </w:tblPr>
      <w:tblGrid>
        <w:gridCol w:w="7275"/>
      </w:tblGrid>
      <w:tr>
        <w:trPr>
          <w:jc w:val="center"/>
          <w:trHeight w:val="5043"/>
        </w:trPr>
        <w:tc>
          <w:tcPr>
            <w:tcW w:w="7275" w:type="dxa"/>
            <w:vAlign w:val="center"/>
            <w:textDirection w:val="lrTb"/>
            <w:noWrap w:val="false"/>
          </w:tcPr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Информация скрыта</w:t>
            </w:r>
            <w:r>
              <w:rPr>
                <w:sz w:val="26"/>
                <w:szCs w:val="26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в соответствии</w:t>
            </w:r>
            <w:r>
              <w:rPr>
                <w:sz w:val="26"/>
                <w:szCs w:val="26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с приказом Минкультуры России</w:t>
            </w:r>
            <w:r>
              <w:rPr>
                <w:sz w:val="26"/>
                <w:szCs w:val="26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от 01.09.2015 № 2328</w:t>
            </w:r>
            <w:r>
              <w:rPr>
                <w:sz w:val="24"/>
                <w:szCs w:val="24"/>
              </w:rPr>
            </w:r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</w:r>
            <w:r>
              <w:rPr>
                <w:sz w:val="26"/>
                <w:szCs w:val="26"/>
              </w:rPr>
            </w:r>
            <w:r/>
          </w:p>
        </w:tc>
      </w:tr>
    </w:tbl>
    <w:p>
      <w:pPr>
        <w:ind w:right="-142"/>
      </w:pPr>
      <w:r/>
      <w:r/>
    </w:p>
    <w:sectPr>
      <w:headerReference w:type="default" r:id="rId11"/>
      <w:footnotePr/>
      <w:endnotePr/>
      <w:type w:val="nextPage"/>
      <w:pgSz w:w="11906" w:h="16838" w:orient="portrait"/>
      <w:pgMar w:top="284" w:right="707" w:bottom="1276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psmt">
    <w:panose1 w:val="02000603000000000000"/>
  </w:font>
  <w:font w:name="Times New Roman">
    <w:panose1 w:val="02020603050405020304"/>
  </w:font>
  <w:font w:name="Calibri">
    <w:panose1 w:val="020F0502020204030204"/>
  </w:font>
  <w:font w:name="Verdana">
    <w:panose1 w:val="020B0604030504040204"/>
  </w:font>
  <w:font w:name="Courier New">
    <w:panose1 w:val="020704090202050204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0"/>
      <w:ind w:left="-567"/>
      <w:rPr>
        <w:rFonts w:ascii="PT Astra Serif" w:hAnsi="PT Astra Serif"/>
      </w:rPr>
    </w:pPr>
    <w:r>
      <w:rPr>
        <w:rFonts w:ascii="PT Astra Serif" w:hAnsi="PT Astra Serif"/>
      </w:rPr>
      <w:t xml:space="preserve">И.Ж. Рагимханова 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9"/>
      <w:jc w:val="center"/>
      <w:rPr>
        <w:sz w:val="28"/>
        <w:szCs w:val="28"/>
      </w:rPr>
    </w:pPr>
    <w:r>
      <w:rPr>
        <w:rStyle w:val="834"/>
        <w:sz w:val="28"/>
        <w:szCs w:val="28"/>
      </w:rPr>
      <w:t xml:space="preserve">2</w: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11200" cy="647700"/>
              <wp:effectExtent l="19050" t="0" r="0" b="0"/>
              <wp:docPr id="1" name="Рисунок 25" descr="GerbTOugl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5" descr="GerbTOugl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11200" cy="647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0pt;height:51.0pt;" stroked="f" strokeweight="0.75pt">
              <v:path textboxrect="0,0,0,0"/>
              <v:imagedata r:id="rId1" o:title=""/>
            </v:shape>
          </w:pict>
        </mc:Fallback>
      </mc:AlternateContent>
    </w:r>
    <w:r/>
  </w:p>
  <w:tbl>
    <w:tblPr>
      <w:tblW w:w="9496" w:type="dxa"/>
      <w:tblInd w:w="108" w:type="dxa"/>
      <w:tblBorders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496"/>
    </w:tblGrid>
    <w:tr>
      <w:trPr>
        <w:trHeight w:val="567"/>
      </w:trPr>
      <w:tc>
        <w:tcPr>
          <w:tcBorders>
            <w:left w:val="none" w:color="000000" w:sz="4" w:space="0"/>
            <w:top w:val="none" w:color="000000" w:sz="4" w:space="0"/>
            <w:right w:val="none" w:color="000000" w:sz="4" w:space="0"/>
            <w:bottom w:val="none" w:color="000000" w:sz="4" w:space="0"/>
          </w:tcBorders>
          <w:tcW w:w="9496" w:type="dxa"/>
          <w:textDirection w:val="lrTb"/>
          <w:noWrap w:val="false"/>
        </w:tcPr>
        <w:p>
          <w:pPr>
            <w:pStyle w:val="829"/>
            <w:jc w:val="center"/>
            <w:spacing w:lineRule="exact" w:line="360"/>
            <w:rPr>
              <w:rFonts w:ascii="PT Astra Serif" w:hAnsi="PT Astra Serif"/>
              <w:b/>
              <w:bCs/>
              <w:sz w:val="30"/>
              <w:szCs w:val="30"/>
            </w:rPr>
          </w:pPr>
          <w:r>
            <w:rPr>
              <w:rFonts w:ascii="PT Astra Serif" w:hAnsi="PT Astra Serif"/>
              <w:b/>
              <w:bCs/>
              <w:sz w:val="30"/>
              <w:szCs w:val="30"/>
            </w:rPr>
            <w:t xml:space="preserve">КОМИТЕТ ПО ОХРАНЕ ОБЪЕКТОВ КУЛЬТУРНОГО НАСЛЕДИЯ ТОМСКОЙ ОБЛАСТИ</w:t>
          </w:r>
          <w:r/>
        </w:p>
        <w:p>
          <w:pPr>
            <w:pStyle w:val="819"/>
            <w:jc w:val="center"/>
            <w:rPr>
              <w:rFonts w:ascii="PT Astra Serif" w:hAnsi="PT Astra Serif"/>
              <w:b/>
              <w:sz w:val="24"/>
              <w:szCs w:val="24"/>
            </w:rPr>
          </w:pPr>
          <w:r>
            <w:rPr>
              <w:rFonts w:ascii="PT Astra Serif" w:hAnsi="PT Astra Serif"/>
              <w:b/>
              <w:sz w:val="24"/>
              <w:szCs w:val="24"/>
            </w:rPr>
          </w:r>
          <w:r/>
        </w:p>
      </w:tc>
    </w:tr>
    <w:tr>
      <w:trPr>
        <w:trHeight w:val="567"/>
      </w:trPr>
      <w:tc>
        <w:tcPr>
          <w:tcBorders>
            <w:left w:val="none" w:color="000000" w:sz="4" w:space="0"/>
            <w:top w:val="none" w:color="000000" w:sz="4" w:space="0"/>
            <w:right w:val="none" w:color="000000" w:sz="4" w:space="0"/>
            <w:bottom w:val="none" w:color="000000" w:sz="4" w:space="0"/>
          </w:tcBorders>
          <w:tcW w:w="9496" w:type="dxa"/>
          <w:textDirection w:val="lrTb"/>
          <w:noWrap w:val="false"/>
        </w:tcPr>
        <w:p>
          <w:pPr>
            <w:pStyle w:val="820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>
            <w:rPr>
              <w:rFonts w:ascii="PT Astra Serif" w:hAnsi="PT Astra Serif"/>
              <w:spacing w:val="40"/>
              <w:sz w:val="28"/>
              <w:szCs w:val="28"/>
            </w:rPr>
            <w:t xml:space="preserve">ПРИКАЗ</w:t>
          </w:r>
          <w:r/>
        </w:p>
      </w:tc>
    </w:tr>
  </w:tbl>
  <w:p>
    <w:pPr>
      <w:pStyle w:val="829"/>
      <w:rPr>
        <w:sz w:val="6"/>
        <w:szCs w:val="6"/>
        <w:lang w:val="en-US"/>
      </w:rPr>
    </w:pPr>
    <w:r>
      <w:rPr>
        <w:sz w:val="6"/>
        <w:szCs w:val="6"/>
        <w:lang w:val="en-US"/>
      </w:rPr>
      <w:t xml:space="preserve"> </w: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9"/>
      <w:jc w:val="center"/>
      <w:rPr>
        <w:sz w:val="28"/>
        <w:szCs w:val="28"/>
      </w:rPr>
    </w:pPr>
    <w:r>
      <w:rPr>
        <w:sz w:val="28"/>
        <w:szCs w:val="28"/>
      </w:rPr>
      <w:t xml:space="preserve">3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6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8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  <w:i w:val="false"/>
        <w:u w:val="none"/>
      </w:rPr>
    </w:lvl>
    <w:lvl w:ilvl="1">
      <w:start w:val="1"/>
      <w:numFmt w:val="decimal"/>
      <w:isLgl w:val="false"/>
      <w:suff w:val="tab"/>
      <w:lvlText w:val="%1.%2"/>
      <w:lvlJc w:val="left"/>
      <w:pPr>
        <w:ind w:left="1211" w:hanging="360"/>
      </w:pPr>
      <w:rPr>
        <w:rFonts w:hint="default"/>
        <w:i w:val="false"/>
        <w:u w:val="none"/>
      </w:rPr>
    </w:lvl>
    <w:lvl w:ilvl="2">
      <w:start w:val="1"/>
      <w:numFmt w:val="decimal"/>
      <w:isLgl w:val="false"/>
      <w:suff w:val="tab"/>
      <w:lvlText w:val="%1.%2.%3"/>
      <w:lvlJc w:val="left"/>
      <w:pPr>
        <w:ind w:left="2988" w:hanging="720"/>
      </w:pPr>
      <w:rPr>
        <w:rFonts w:hint="default"/>
        <w:i w:val="false"/>
        <w:u w:val="none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4122" w:hanging="720"/>
      </w:pPr>
      <w:rPr>
        <w:rFonts w:hint="default"/>
        <w:i w:val="false"/>
        <w:u w:val="none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5616" w:hanging="1080"/>
      </w:pPr>
      <w:rPr>
        <w:rFonts w:hint="default"/>
        <w:i w:val="false"/>
        <w:u w:val="none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6750" w:hanging="1080"/>
      </w:pPr>
      <w:rPr>
        <w:rFonts w:hint="default"/>
        <w:i w:val="false"/>
        <w:u w:val="none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8244" w:hanging="1440"/>
      </w:pPr>
      <w:rPr>
        <w:rFonts w:hint="default"/>
        <w:i w:val="false"/>
        <w:u w:val="none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9378" w:hanging="1440"/>
      </w:pPr>
      <w:rPr>
        <w:rFonts w:hint="default"/>
        <w:i w:val="false"/>
        <w:u w:val="none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0872" w:hanging="1800"/>
      </w:pPr>
      <w:rPr>
        <w:rFonts w:hint="default"/>
        <w:i w:val="false"/>
        <w:u w:val="none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644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5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7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9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1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3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5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7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9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14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9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0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hint="default"/>
        <w:b w:val="false"/>
        <w:i w:val="false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  <w:b w:val="false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6" w:hanging="900"/>
      </w:pPr>
      <w:rPr>
        <w:rFonts w:hint="default"/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28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2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3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080" w:hanging="360"/>
      </w:pPr>
      <w:rPr>
        <w:rFonts w:hint="default"/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8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927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44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45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46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7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49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1"/>
  </w:num>
  <w:num w:numId="2">
    <w:abstractNumId w:val="18"/>
  </w:num>
  <w:num w:numId="3">
    <w:abstractNumId w:val="2"/>
  </w:num>
  <w:num w:numId="4">
    <w:abstractNumId w:val="17"/>
  </w:num>
  <w:num w:numId="5">
    <w:abstractNumId w:val="48"/>
  </w:num>
  <w:num w:numId="6">
    <w:abstractNumId w:val="24"/>
  </w:num>
  <w:num w:numId="7">
    <w:abstractNumId w:val="36"/>
  </w:num>
  <w:num w:numId="8">
    <w:abstractNumId w:val="39"/>
  </w:num>
  <w:num w:numId="9">
    <w:abstractNumId w:val="35"/>
  </w:num>
  <w:num w:numId="10">
    <w:abstractNumId w:val="43"/>
  </w:num>
  <w:num w:numId="11">
    <w:abstractNumId w:val="29"/>
  </w:num>
  <w:num w:numId="12">
    <w:abstractNumId w:val="41"/>
  </w:num>
  <w:num w:numId="13">
    <w:abstractNumId w:val="3"/>
  </w:num>
  <w:num w:numId="14">
    <w:abstractNumId w:val="8"/>
  </w:num>
  <w:num w:numId="15">
    <w:abstractNumId w:val="19"/>
  </w:num>
  <w:num w:numId="16">
    <w:abstractNumId w:val="28"/>
  </w:num>
  <w:num w:numId="17">
    <w:abstractNumId w:val="31"/>
  </w:num>
  <w:num w:numId="18">
    <w:abstractNumId w:val="6"/>
  </w:num>
  <w:num w:numId="19">
    <w:abstractNumId w:val="33"/>
  </w:num>
  <w:num w:numId="20">
    <w:abstractNumId w:val="4"/>
  </w:num>
  <w:num w:numId="21">
    <w:abstractNumId w:val="16"/>
  </w:num>
  <w:num w:numId="22">
    <w:abstractNumId w:val="34"/>
  </w:num>
  <w:num w:numId="23">
    <w:abstractNumId w:val="25"/>
  </w:num>
  <w:num w:numId="24">
    <w:abstractNumId w:val="5"/>
  </w:num>
  <w:num w:numId="25">
    <w:abstractNumId w:val="49"/>
  </w:num>
  <w:num w:numId="26">
    <w:abstractNumId w:val="38"/>
  </w:num>
  <w:num w:numId="27">
    <w:abstractNumId w:val="20"/>
  </w:num>
  <w:num w:numId="28">
    <w:abstractNumId w:val="47"/>
  </w:num>
  <w:num w:numId="29">
    <w:abstractNumId w:val="11"/>
  </w:num>
  <w:num w:numId="30">
    <w:abstractNumId w:val="1"/>
  </w:num>
  <w:num w:numId="31">
    <w:abstractNumId w:val="9"/>
  </w:num>
  <w:num w:numId="32">
    <w:abstractNumId w:val="13"/>
  </w:num>
  <w:num w:numId="33">
    <w:abstractNumId w:val="7"/>
  </w:num>
  <w:num w:numId="34">
    <w:abstractNumId w:val="40"/>
  </w:num>
  <w:num w:numId="35">
    <w:abstractNumId w:val="32"/>
  </w:num>
  <w:num w:numId="36">
    <w:abstractNumId w:val="37"/>
  </w:num>
  <w:num w:numId="37">
    <w:abstractNumId w:val="42"/>
  </w:num>
  <w:num w:numId="38">
    <w:abstractNumId w:val="46"/>
  </w:num>
  <w:num w:numId="39">
    <w:abstractNumId w:val="12"/>
  </w:num>
  <w:num w:numId="40">
    <w:abstractNumId w:val="10"/>
  </w:num>
  <w:num w:numId="41">
    <w:abstractNumId w:val="0"/>
  </w:num>
  <w:num w:numId="42">
    <w:abstractNumId w:val="23"/>
  </w:num>
  <w:num w:numId="43">
    <w:abstractNumId w:val="15"/>
  </w:num>
  <w:num w:numId="44">
    <w:abstractNumId w:val="27"/>
  </w:num>
  <w:num w:numId="45">
    <w:abstractNumId w:val="26"/>
  </w:num>
  <w:num w:numId="46">
    <w:abstractNumId w:val="45"/>
  </w:num>
  <w:num w:numId="47">
    <w:abstractNumId w:val="44"/>
  </w:num>
  <w:num w:numId="48">
    <w:abstractNumId w:val="14"/>
  </w:num>
  <w:num w:numId="49">
    <w:abstractNumId w:val="22"/>
  </w:num>
  <w:num w:numId="50">
    <w:abstractNumId w:val="3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evenAndOddHeaders/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ru-RU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">
    <w:name w:val="Heading 1 Char"/>
    <w:basedOn w:val="824"/>
    <w:link w:val="818"/>
    <w:uiPriority w:val="9"/>
    <w:rPr>
      <w:rFonts w:ascii="Arial" w:hAnsi="Arial" w:cs="Arial" w:eastAsia="Arial"/>
      <w:sz w:val="40"/>
      <w:szCs w:val="40"/>
    </w:rPr>
  </w:style>
  <w:style w:type="character" w:styleId="14">
    <w:name w:val="Heading 2 Char"/>
    <w:basedOn w:val="824"/>
    <w:link w:val="819"/>
    <w:uiPriority w:val="9"/>
    <w:rPr>
      <w:rFonts w:ascii="Arial" w:hAnsi="Arial" w:cs="Arial" w:eastAsia="Arial"/>
      <w:sz w:val="34"/>
    </w:rPr>
  </w:style>
  <w:style w:type="character" w:styleId="16">
    <w:name w:val="Heading 3 Char"/>
    <w:basedOn w:val="824"/>
    <w:link w:val="820"/>
    <w:uiPriority w:val="9"/>
    <w:rPr>
      <w:rFonts w:ascii="Arial" w:hAnsi="Arial" w:cs="Arial" w:eastAsia="Arial"/>
      <w:sz w:val="30"/>
      <w:szCs w:val="30"/>
    </w:rPr>
  </w:style>
  <w:style w:type="character" w:styleId="18">
    <w:name w:val="Heading 4 Char"/>
    <w:basedOn w:val="824"/>
    <w:link w:val="821"/>
    <w:uiPriority w:val="9"/>
    <w:rPr>
      <w:rFonts w:ascii="Arial" w:hAnsi="Arial" w:cs="Arial" w:eastAsia="Arial"/>
      <w:b/>
      <w:bCs/>
      <w:sz w:val="26"/>
      <w:szCs w:val="26"/>
    </w:rPr>
  </w:style>
  <w:style w:type="character" w:styleId="20">
    <w:name w:val="Heading 5 Char"/>
    <w:basedOn w:val="824"/>
    <w:link w:val="822"/>
    <w:uiPriority w:val="9"/>
    <w:rPr>
      <w:rFonts w:ascii="Arial" w:hAnsi="Arial" w:cs="Arial" w:eastAsia="Arial"/>
      <w:b/>
      <w:bCs/>
      <w:sz w:val="24"/>
      <w:szCs w:val="24"/>
    </w:rPr>
  </w:style>
  <w:style w:type="character" w:styleId="22">
    <w:name w:val="Heading 6 Char"/>
    <w:basedOn w:val="824"/>
    <w:link w:val="823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817"/>
    <w:next w:val="817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824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817"/>
    <w:next w:val="817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824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817"/>
    <w:next w:val="817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824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2">
    <w:name w:val="Title"/>
    <w:basedOn w:val="817"/>
    <w:next w:val="817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824"/>
    <w:link w:val="32"/>
    <w:uiPriority w:val="10"/>
    <w:rPr>
      <w:sz w:val="48"/>
      <w:szCs w:val="48"/>
    </w:rPr>
  </w:style>
  <w:style w:type="paragraph" w:styleId="34">
    <w:name w:val="Subtitle"/>
    <w:basedOn w:val="817"/>
    <w:next w:val="817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824"/>
    <w:link w:val="34"/>
    <w:uiPriority w:val="11"/>
    <w:rPr>
      <w:sz w:val="24"/>
      <w:szCs w:val="24"/>
    </w:rPr>
  </w:style>
  <w:style w:type="paragraph" w:styleId="36">
    <w:name w:val="Quote"/>
    <w:basedOn w:val="817"/>
    <w:next w:val="817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817"/>
    <w:next w:val="817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character" w:styleId="41">
    <w:name w:val="Header Char"/>
    <w:basedOn w:val="824"/>
    <w:link w:val="829"/>
    <w:uiPriority w:val="99"/>
  </w:style>
  <w:style w:type="character" w:styleId="43">
    <w:name w:val="Footer Char"/>
    <w:basedOn w:val="824"/>
    <w:link w:val="830"/>
    <w:uiPriority w:val="99"/>
  </w:style>
  <w:style w:type="paragraph" w:styleId="44">
    <w:name w:val="Caption"/>
    <w:basedOn w:val="817"/>
    <w:next w:val="817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830"/>
    <w:uiPriority w:val="99"/>
  </w:style>
  <w:style w:type="table" w:styleId="47">
    <w:name w:val="Table Grid Light"/>
    <w:basedOn w:val="825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825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825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2">
    <w:name w:val="Lined - Accent 1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53">
    <w:name w:val="Lined - Accent 2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54">
    <w:name w:val="Lined - Accent 3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55">
    <w:name w:val="Lined - Accent 4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56">
    <w:name w:val="Lined - Accent 5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57">
    <w:name w:val="Lined - Accent 6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58">
    <w:name w:val="Bordered &amp; Lined - Accent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9">
    <w:name w:val="Bordered &amp; Lined - Accent 1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60">
    <w:name w:val="Bordered &amp; Lined - Accent 2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61">
    <w:name w:val="Bordered &amp; Lined - Accent 3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62">
    <w:name w:val="Bordered &amp; Lined - Accent 4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63">
    <w:name w:val="Bordered &amp; Lined - Accent 5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64">
    <w:name w:val="Bordered &amp; Lined - Accent 6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65">
    <w:name w:val="Bordered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paragraph" w:styleId="173">
    <w:name w:val="footnote text"/>
    <w:basedOn w:val="817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824"/>
    <w:uiPriority w:val="99"/>
    <w:unhideWhenUsed/>
    <w:rPr>
      <w:vertAlign w:val="superscript"/>
    </w:rPr>
  </w:style>
  <w:style w:type="paragraph" w:styleId="176">
    <w:name w:val="endnote text"/>
    <w:basedOn w:val="817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824"/>
    <w:uiPriority w:val="99"/>
    <w:semiHidden/>
    <w:unhideWhenUsed/>
    <w:rPr>
      <w:vertAlign w:val="superscript"/>
    </w:rPr>
  </w:style>
  <w:style w:type="paragraph" w:styleId="179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</w:style>
  <w:style w:type="paragraph" w:styleId="818">
    <w:name w:val="Heading 1"/>
    <w:basedOn w:val="827"/>
    <w:next w:val="827"/>
    <w:qFormat/>
    <w:rPr>
      <w:rFonts w:ascii="Tahoma" w:hAnsi="Tahoma"/>
      <w:sz w:val="24"/>
    </w:rPr>
    <w:pPr>
      <w:keepNext/>
      <w:outlineLvl w:val="0"/>
    </w:pPr>
  </w:style>
  <w:style w:type="paragraph" w:styleId="819">
    <w:name w:val="Heading 2"/>
    <w:basedOn w:val="827"/>
    <w:next w:val="827"/>
    <w:qFormat/>
    <w:rPr>
      <w:rFonts w:ascii="Tahoma" w:hAnsi="Tahoma"/>
      <w:spacing w:val="20"/>
      <w:sz w:val="28"/>
    </w:rPr>
    <w:pPr>
      <w:keepNext/>
      <w:outlineLvl w:val="1"/>
    </w:pPr>
  </w:style>
  <w:style w:type="paragraph" w:styleId="820">
    <w:name w:val="Heading 3"/>
    <w:basedOn w:val="827"/>
    <w:next w:val="827"/>
    <w:qFormat/>
    <w:rPr>
      <w:rFonts w:ascii="Tahoma" w:hAnsi="Tahoma"/>
      <w:b/>
      <w:sz w:val="32"/>
    </w:rPr>
    <w:pPr>
      <w:keepNext/>
      <w:outlineLvl w:val="2"/>
    </w:pPr>
  </w:style>
  <w:style w:type="paragraph" w:styleId="821">
    <w:name w:val="Heading 4"/>
    <w:basedOn w:val="827"/>
    <w:next w:val="827"/>
    <w:qFormat/>
    <w:rPr>
      <w:sz w:val="28"/>
    </w:rPr>
    <w:pPr>
      <w:jc w:val="both"/>
      <w:keepNext/>
      <w:outlineLvl w:val="3"/>
    </w:pPr>
  </w:style>
  <w:style w:type="paragraph" w:styleId="822">
    <w:name w:val="Heading 5"/>
    <w:basedOn w:val="827"/>
    <w:next w:val="827"/>
    <w:qFormat/>
    <w:rPr>
      <w:sz w:val="28"/>
    </w:rPr>
    <w:pPr>
      <w:ind w:firstLine="567"/>
      <w:keepNext/>
      <w:outlineLvl w:val="4"/>
    </w:pPr>
  </w:style>
  <w:style w:type="paragraph" w:styleId="823">
    <w:name w:val="Heading 6"/>
    <w:basedOn w:val="827"/>
    <w:next w:val="827"/>
    <w:qFormat/>
    <w:rPr>
      <w:sz w:val="28"/>
    </w:rPr>
    <w:pPr>
      <w:ind w:left="7200"/>
      <w:jc w:val="both"/>
      <w:keepNext/>
      <w:outlineLvl w:val="5"/>
    </w:pPr>
  </w:style>
  <w:style w:type="character" w:styleId="824" w:default="1">
    <w:name w:val="Default Paragraph Font"/>
    <w:uiPriority w:val="1"/>
    <w:unhideWhenUsed/>
  </w:style>
  <w:style w:type="table" w:styleId="82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6" w:default="1">
    <w:name w:val="No List"/>
    <w:uiPriority w:val="99"/>
    <w:semiHidden/>
    <w:unhideWhenUsed/>
  </w:style>
  <w:style w:type="paragraph" w:styleId="827" w:customStyle="1">
    <w:name w:val="Обычный1"/>
  </w:style>
  <w:style w:type="character" w:styleId="828" w:customStyle="1">
    <w:name w:val="Основной шрифт абзаца1"/>
  </w:style>
  <w:style w:type="paragraph" w:styleId="829">
    <w:name w:val="Header"/>
    <w:basedOn w:val="827"/>
    <w:pPr>
      <w:tabs>
        <w:tab w:val="center" w:pos="4153" w:leader="none"/>
        <w:tab w:val="right" w:pos="8306" w:leader="none"/>
      </w:tabs>
    </w:pPr>
  </w:style>
  <w:style w:type="paragraph" w:styleId="830">
    <w:name w:val="Footer"/>
    <w:basedOn w:val="827"/>
    <w:pPr>
      <w:tabs>
        <w:tab w:val="center" w:pos="4153" w:leader="none"/>
        <w:tab w:val="right" w:pos="8306" w:leader="none"/>
      </w:tabs>
    </w:pPr>
  </w:style>
  <w:style w:type="paragraph" w:styleId="831">
    <w:name w:val="Body Text Indent"/>
    <w:basedOn w:val="827"/>
    <w:rPr>
      <w:sz w:val="28"/>
    </w:rPr>
    <w:pPr>
      <w:ind w:firstLine="426"/>
      <w:jc w:val="both"/>
    </w:pPr>
  </w:style>
  <w:style w:type="paragraph" w:styleId="832" w:customStyle="1">
    <w:name w:val="Основной текст1"/>
    <w:basedOn w:val="827"/>
    <w:rPr>
      <w:sz w:val="28"/>
    </w:rPr>
    <w:pPr>
      <w:jc w:val="both"/>
      <w:spacing w:lineRule="auto" w:line="360"/>
    </w:pPr>
  </w:style>
  <w:style w:type="paragraph" w:styleId="833">
    <w:name w:val="Body Text Indent 2"/>
    <w:basedOn w:val="827"/>
    <w:rPr>
      <w:sz w:val="28"/>
    </w:rPr>
    <w:pPr>
      <w:ind w:firstLine="720"/>
      <w:jc w:val="both"/>
    </w:pPr>
  </w:style>
  <w:style w:type="character" w:styleId="834">
    <w:name w:val="page number"/>
    <w:basedOn w:val="824"/>
  </w:style>
  <w:style w:type="paragraph" w:styleId="835" w:customStyle="1">
    <w:name w:val="ConsNonformat"/>
    <w:rPr>
      <w:rFonts w:ascii="Courier New" w:hAnsi="Courier New"/>
    </w:rPr>
    <w:pPr>
      <w:ind w:right="19772"/>
    </w:pPr>
  </w:style>
  <w:style w:type="paragraph" w:styleId="836" w:customStyle="1">
    <w:name w:val="ConsTitle"/>
    <w:rPr>
      <w:rFonts w:ascii="Arial" w:hAnsi="Arial"/>
      <w:b/>
      <w:sz w:val="16"/>
    </w:rPr>
    <w:pPr>
      <w:ind w:right="19772"/>
    </w:pPr>
  </w:style>
  <w:style w:type="table" w:styleId="837">
    <w:name w:val="Table Grid"/>
    <w:basedOn w:val="825"/>
    <w:uiPriority w:val="59"/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paragraph" w:styleId="838">
    <w:name w:val="Balloon Text"/>
    <w:basedOn w:val="817"/>
    <w:semiHidden/>
    <w:rPr>
      <w:rFonts w:ascii="Tahoma" w:hAnsi="Tahoma" w:cs="Tahoma"/>
      <w:sz w:val="16"/>
      <w:szCs w:val="16"/>
    </w:rPr>
  </w:style>
  <w:style w:type="character" w:styleId="839">
    <w:name w:val="Strong"/>
    <w:qFormat/>
    <w:rPr>
      <w:b/>
      <w:bCs/>
    </w:rPr>
  </w:style>
  <w:style w:type="paragraph" w:styleId="840" w:customStyle="1">
    <w:name w:val="Знак Знак Знак Знак Знак Знак Знак Знак Знак Знак Знак Знак Знак Знак Знак1 Знак Знак Знак Знак"/>
    <w:basedOn w:val="817"/>
    <w:next w:val="819"/>
    <w:rPr>
      <w:sz w:val="24"/>
      <w:lang w:val="en-US" w:eastAsia="en-US"/>
    </w:rPr>
    <w:pPr>
      <w:spacing w:lineRule="exact" w:line="240" w:after="160"/>
    </w:pPr>
  </w:style>
  <w:style w:type="paragraph" w:styleId="841" w:customStyle="1">
    <w:name w:val="Знак1 Знак Знак Знак"/>
    <w:basedOn w:val="817"/>
    <w:rPr>
      <w:rFonts w:ascii="Verdana" w:hAnsi="Verdana" w:cs="Verdana"/>
      <w:lang w:val="en-US" w:eastAsia="en-US"/>
    </w:rPr>
  </w:style>
  <w:style w:type="character" w:styleId="842" w:customStyle="1">
    <w:name w:val="apple-converted-space"/>
    <w:basedOn w:val="824"/>
  </w:style>
  <w:style w:type="character" w:styleId="843">
    <w:name w:val="Hyperlink"/>
    <w:rPr>
      <w:color w:val="0000FF"/>
      <w:u w:val="single"/>
    </w:rPr>
  </w:style>
  <w:style w:type="paragraph" w:styleId="844" w:customStyle="1">
    <w:name w:val="Исполнитель"/>
    <w:basedOn w:val="817"/>
  </w:style>
  <w:style w:type="paragraph" w:styleId="845" w:customStyle="1">
    <w:name w:val="a"/>
    <w:basedOn w:val="817"/>
    <w:rPr>
      <w:sz w:val="24"/>
      <w:szCs w:val="24"/>
    </w:rPr>
    <w:pPr>
      <w:spacing w:after="100" w:afterAutospacing="1" w:before="100" w:beforeAutospacing="1"/>
    </w:pPr>
  </w:style>
  <w:style w:type="paragraph" w:styleId="846" w:customStyle="1">
    <w:name w:val="Абзац списка1"/>
    <w:basedOn w:val="817"/>
    <w:rPr>
      <w:rFonts w:ascii="Calibri" w:hAnsi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847">
    <w:name w:val="Document Map"/>
    <w:basedOn w:val="817"/>
    <w:semiHidden/>
    <w:rPr>
      <w:rFonts w:ascii="Tahoma" w:hAnsi="Tahoma" w:cs="Tahoma"/>
    </w:rPr>
    <w:pPr>
      <w:shd w:val="clear" w:fill="000080" w:color="auto"/>
    </w:pPr>
  </w:style>
  <w:style w:type="paragraph" w:styleId="848" w:customStyle="1">
    <w:name w:val="ConsPlusTitle"/>
    <w:rPr>
      <w:rFonts w:ascii="Arial" w:hAnsi="Arial"/>
      <w:b/>
      <w:sz w:val="16"/>
    </w:rPr>
    <w:pPr>
      <w:widowControl w:val="off"/>
    </w:pPr>
  </w:style>
  <w:style w:type="paragraph" w:styleId="849" w:customStyle="1">
    <w:name w:val="ConsPlusNonformat"/>
    <w:rPr>
      <w:rFonts w:ascii="Courier New" w:hAnsi="Courier New" w:cs="Courier New"/>
      <w:lang w:eastAsia="ar-SA"/>
    </w:rPr>
    <w:pPr>
      <w:widowControl w:val="off"/>
    </w:pPr>
  </w:style>
  <w:style w:type="paragraph" w:styleId="850" w:customStyle="1">
    <w:name w:val="Базовый"/>
    <w:rPr>
      <w:rFonts w:ascii="Calibri" w:hAnsi="Calibri"/>
      <w:color w:val="00000A"/>
      <w:sz w:val="22"/>
      <w:szCs w:val="22"/>
      <w:lang w:eastAsia="en-US"/>
    </w:rPr>
    <w:pPr>
      <w:spacing w:lineRule="atLeast" w:line="276" w:after="200"/>
      <w:tabs>
        <w:tab w:val="left" w:pos="709" w:leader="none"/>
      </w:tabs>
    </w:pPr>
  </w:style>
  <w:style w:type="paragraph" w:styleId="851">
    <w:name w:val="Body Text"/>
    <w:basedOn w:val="817"/>
    <w:pPr>
      <w:spacing w:after="120"/>
    </w:pPr>
  </w:style>
  <w:style w:type="paragraph" w:styleId="852">
    <w:name w:val="List Paragraph"/>
    <w:basedOn w:val="817"/>
    <w:qFormat/>
    <w:uiPriority w:val="34"/>
    <w:rPr>
      <w:rFonts w:ascii="Calibri" w:hAnsi="Calibri" w:eastAsia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853">
    <w:name w:val="No Spacing"/>
    <w:qFormat/>
    <w:uiPriority w:val="1"/>
    <w:rPr>
      <w:rFonts w:ascii="Calibri" w:hAnsi="Calibri" w:eastAsia="Calibri"/>
      <w:sz w:val="22"/>
      <w:szCs w:val="22"/>
      <w:lang w:eastAsia="en-US"/>
    </w:rPr>
  </w:style>
  <w:style w:type="paragraph" w:styleId="854" w:customStyle="1">
    <w:name w:val="Default"/>
    <w:rPr>
      <w:color w:val="000000"/>
      <w:sz w:val="24"/>
      <w:szCs w:val="24"/>
    </w:rPr>
  </w:style>
  <w:style w:type="table" w:styleId="855" w:customStyle="1">
    <w:name w:val="Table Normal"/>
    <w:qFormat/>
    <w:uiPriority w:val="2"/>
    <w:semiHidden/>
    <w:unhideWhenUsed/>
    <w:rPr>
      <w:rFonts w:asciiTheme="minorHAnsi" w:hAnsiTheme="minorHAnsi" w:eastAsiaTheme="minorHAnsi" w:cstheme="minorBidi"/>
      <w:sz w:val="22"/>
      <w:szCs w:val="22"/>
      <w:lang w:val="en-US" w:eastAsia="en-US"/>
    </w:rPr>
    <w:pPr>
      <w:widowControl w:val="off"/>
    </w:p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56" w:customStyle="1">
    <w:name w:val="Table Paragraph"/>
    <w:basedOn w:val="817"/>
    <w:qFormat/>
    <w:uiPriority w:val="1"/>
    <w:rPr>
      <w:sz w:val="22"/>
      <w:szCs w:val="22"/>
      <w:lang w:bidi="ru-RU"/>
    </w:rPr>
    <w:pPr>
      <w:ind w:left="1322"/>
      <w:jc w:val="center"/>
      <w:spacing w:lineRule="exact" w:line="256"/>
      <w:widowControl w:val="off"/>
    </w:pPr>
  </w:style>
  <w:style w:type="table" w:styleId="857" w:customStyle="1">
    <w:name w:val="Сетка таблицы1"/>
    <w:basedOn w:val="825"/>
    <w:next w:val="837"/>
    <w:pPr>
      <w:ind w:firstLine="709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customXml" Target="../customXml/item1.xml" /><Relationship Id="rId14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customXml/itemProps2.xml><?xml version="1.0" encoding="utf-8"?>
<ds:datastoreItem xmlns:ds="http://schemas.openxmlformats.org/officeDocument/2006/customXml" ds:itemID="{28DA79B6-526B-4FF2-B135-F27C17669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Шаблон бланка приказа по основной деятельности (новый)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revision>105</cp:revision>
  <dcterms:created xsi:type="dcterms:W3CDTF">2018-01-30T07:24:00Z</dcterms:created>
  <dcterms:modified xsi:type="dcterms:W3CDTF">2022-12-26T10:37:30Z</dcterms:modified>
</cp:coreProperties>
</file>