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header8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/>
      <w:bookmarkStart w:id="0" w:name="_GoBack"/>
      <w:r/>
      <w:bookmarkEnd w:id="0"/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17.02.2023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№ </w:t>
      </w:r>
      <w:r>
        <w:rPr>
          <w:rFonts w:ascii="PT Astra Serif" w:hAnsi="PT Astra Serif"/>
          <w:bCs/>
          <w:sz w:val="26"/>
          <w:szCs w:val="26"/>
        </w:rPr>
        <w:t xml:space="preserve">0027/01-07</w:t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порядков определения объема и условия предоставления субсиди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 иные цели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</w:t>
      </w:r>
      <w:r>
        <w:rPr>
          <w:rFonts w:ascii="PT Astra Serif" w:hAnsi="PT Astra Serif"/>
          <w:sz w:val="26"/>
          <w:szCs w:val="26"/>
        </w:rPr>
        <w:t xml:space="preserve">ипальным правовым актам, устанавливающим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</w:t>
      </w:r>
      <w:r>
        <w:rPr>
          <w:rFonts w:ascii="PT Astra Serif" w:hAnsi="PT Astra Serif"/>
          <w:sz w:val="26"/>
          <w:szCs w:val="26"/>
        </w:rPr>
        <w:t xml:space="preserve">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</w:t>
      </w:r>
      <w:r>
        <w:rPr>
          <w:rFonts w:ascii="PT Astra Serif" w:hAnsi="PT Astra Serif"/>
          <w:sz w:val="26"/>
          <w:szCs w:val="26"/>
        </w:rPr>
        <w:t xml:space="preserve"> следующие порядки определения объема и условия предоставления субсиди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учреждению культуры «Центр по охране и использованию памятников истории и культуры» на иные цели: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Порядок определения объема и условия предоставления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субсидии из областного бюджета на </w:t>
      </w:r>
      <w:r>
        <w:rPr>
          <w:rFonts w:ascii="PT Astra Serif" w:hAnsi="PT Astra Serif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/>
          <w:sz w:val="26"/>
          <w:szCs w:val="26"/>
        </w:rPr>
        <w:t xml:space="preserve"> объекта культурного наследия регионального значения «Лечебница городская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1888г., расположенного по адресу: г. 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согласно прил</w:t>
      </w:r>
      <w:r>
        <w:rPr>
          <w:rFonts w:ascii="PT Astra Serif" w:hAnsi="PT Astra Serif"/>
          <w:sz w:val="26"/>
          <w:szCs w:val="26"/>
        </w:rPr>
        <w:t xml:space="preserve">ожению № 1 к 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выявленного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Больница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1915г.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. Томск, пр. Ленина, </w:t>
      </w:r>
      <w:r>
        <w:rPr>
          <w:rFonts w:ascii="PT Astra Serif" w:hAnsi="PT Astra Serif"/>
          <w:sz w:val="26"/>
          <w:szCs w:val="26"/>
        </w:rPr>
        <w:t xml:space="preserve">51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согласно приложен</w:t>
      </w:r>
      <w:r>
        <w:rPr>
          <w:rFonts w:ascii="PT Astra Serif" w:hAnsi="PT Astra Serif"/>
          <w:sz w:val="26"/>
          <w:szCs w:val="26"/>
        </w:rPr>
        <w:t xml:space="preserve">ию № 2 к 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опубликования, распространяется на правоотношения, возникшие с 1 января 2023 года.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99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Павлова Е.Р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.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left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  <w:r/>
          </w:p>
        </w:tc>
      </w:tr>
    </w:tbl>
    <w:p>
      <w:pPr>
        <w:jc w:val="both"/>
        <w:widowControl w:val="off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Сеничкина</w:t>
      </w:r>
      <w:r>
        <w:rPr>
          <w:rFonts w:ascii="PT Astra Serif" w:hAnsi="PT Astra Serif"/>
          <w:sz w:val="20"/>
          <w:szCs w:val="20"/>
        </w:rPr>
        <w:t xml:space="preserve"> Н.А.</w:t>
      </w:r>
      <w:r/>
    </w:p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1</w:t>
      </w:r>
      <w:r/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17.02.2023</w:t>
      </w:r>
      <w:r>
        <w:rPr>
          <w:rFonts w:ascii="PT Astra Serif" w:hAnsi="PT Astra Serif"/>
          <w:sz w:val="26"/>
          <w:szCs w:val="26"/>
        </w:rPr>
        <w:t xml:space="preserve">   №  0027/01-07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/>
          <w:sz w:val="26"/>
          <w:szCs w:val="26"/>
        </w:rPr>
        <w:t xml:space="preserve"> объекта культурного наследия регионального значения «Лечебница городская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1888г., расположенного по адресу: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. Томск, 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22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8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Лечебница городская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1888г.</w:t>
      </w:r>
      <w:r>
        <w:rPr>
          <w:rFonts w:ascii="PT Astra Serif" w:hAnsi="PT Astra Serif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/>
          <w:sz w:val="26"/>
          <w:szCs w:val="26"/>
        </w:rPr>
        <w:t xml:space="preserve">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22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–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у</w:t>
      </w:r>
      <w:r>
        <w:rPr>
          <w:rFonts w:ascii="PT Astra Serif" w:hAnsi="PT Astra Serif"/>
          <w:sz w:val="26"/>
          <w:szCs w:val="26"/>
        </w:rPr>
        <w:t xml:space="preserve">чреждение, п</w:t>
      </w:r>
      <w:r>
        <w:rPr>
          <w:rFonts w:ascii="PT Astra Serif" w:hAnsi="PT Astra Serif"/>
          <w:sz w:val="26"/>
          <w:szCs w:val="26"/>
        </w:rPr>
        <w:t xml:space="preserve">олучатель субсидии), в отношении</w:t>
      </w:r>
      <w:r>
        <w:rPr>
          <w:rFonts w:ascii="PT Astra Serif" w:hAnsi="PT Astra Serif"/>
          <w:sz w:val="26"/>
          <w:szCs w:val="26"/>
        </w:rPr>
        <w:t xml:space="preserve"> которого Комитет по охране объектов культурного наследия Томской области (далее – Комитет, 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чредитель) осуществляет функции и полномочия учредителя.</w:t>
      </w:r>
      <w:r/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Целью предоставления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является 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капитальн</w:t>
      </w:r>
      <w:r>
        <w:rPr>
          <w:rFonts w:ascii="PT Astra Serif" w:hAnsi="PT Astra Serif"/>
          <w:sz w:val="26"/>
          <w:szCs w:val="26"/>
        </w:rPr>
        <w:t xml:space="preserve">ый</w:t>
      </w:r>
      <w:r>
        <w:rPr>
          <w:rFonts w:ascii="PT Astra Serif" w:hAnsi="PT Astra Serif"/>
          <w:sz w:val="26"/>
          <w:szCs w:val="26"/>
        </w:rPr>
        <w:t xml:space="preserve"> ремонт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/>
          <w:sz w:val="26"/>
          <w:szCs w:val="26"/>
        </w:rPr>
        <w:t xml:space="preserve">Лечебница городская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1888г.</w:t>
      </w:r>
      <w:r>
        <w:rPr>
          <w:rFonts w:ascii="PT Astra Serif" w:hAnsi="PT Astra Serif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. Томск, </w:t>
      </w:r>
      <w:r>
        <w:rPr>
          <w:rFonts w:ascii="PT Astra Serif" w:hAnsi="PT Astra Serif"/>
          <w:sz w:val="26"/>
          <w:szCs w:val="26"/>
        </w:rPr>
        <w:t xml:space="preserve">Набережная реки </w:t>
      </w:r>
      <w:r>
        <w:rPr>
          <w:rFonts w:ascii="PT Astra Serif" w:hAnsi="PT Astra Serif"/>
          <w:sz w:val="26"/>
          <w:szCs w:val="26"/>
        </w:rPr>
        <w:t xml:space="preserve">Ушайки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22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/>
          <w:sz w:val="26"/>
          <w:szCs w:val="26"/>
        </w:rPr>
        <w:t xml:space="preserve">на модернизацию первичного звена здравоохранения</w:t>
      </w:r>
      <w:r>
        <w:rPr>
          <w:rFonts w:ascii="PT Astra Serif" w:hAnsi="PT Astra Serif"/>
          <w:sz w:val="26"/>
          <w:szCs w:val="26"/>
        </w:rPr>
        <w:t xml:space="preserve"> путем их капитального ремонта в соответствии с</w:t>
      </w:r>
      <w:r>
        <w:rPr>
          <w:rFonts w:ascii="PT Astra Serif" w:hAnsi="PT Astra Serif"/>
          <w:sz w:val="26"/>
          <w:szCs w:val="26"/>
        </w:rPr>
        <w:t xml:space="preserve"> приложени</w:t>
      </w:r>
      <w:r>
        <w:rPr>
          <w:rFonts w:ascii="PT Astra Serif" w:hAnsi="PT Astra Serif"/>
          <w:sz w:val="26"/>
          <w:szCs w:val="26"/>
        </w:rPr>
        <w:t xml:space="preserve">ем</w:t>
      </w:r>
      <w:r>
        <w:rPr>
          <w:rFonts w:ascii="PT Astra Serif" w:hAnsi="PT Astra Serif"/>
          <w:sz w:val="26"/>
          <w:szCs w:val="26"/>
        </w:rPr>
        <w:t xml:space="preserve"> № 10 к государственной программе Российской Федерации «Развитие здравоохранения», утвержденной постановлением Правительства Российской Федерации от 26.12.2017 </w:t>
      </w:r>
      <w:r>
        <w:rPr>
          <w:rFonts w:ascii="PT Astra Serif" w:hAnsi="PT Astra Serif"/>
          <w:sz w:val="26"/>
          <w:szCs w:val="26"/>
        </w:rPr>
        <w:t xml:space="preserve">№ 1640 (далее – Правила предоставления субсидии) за счет средств областного бюджета, выделенных в соответствии с Законом Томской области от 28.12.2022 №141-ОЗ «Об областном бюджете на 2023 год и на плановый период</w:t>
      </w:r>
      <w:r>
        <w:rPr>
          <w:rFonts w:ascii="PT Astra Serif" w:hAnsi="PT Astra Serif"/>
          <w:sz w:val="26"/>
          <w:szCs w:val="26"/>
        </w:rPr>
        <w:t xml:space="preserve"> 2024 и 2025 годов».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на соответствующий финансовый год, является Комитет по охране объектов культурного наследия Томской области.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Условия и порядок предоставления субсидии</w:t>
      </w:r>
      <w:r/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4</w:t>
      </w:r>
      <w:r>
        <w:rPr>
          <w:rFonts w:ascii="PT Astra Serif" w:hAnsi="PT Astra Serif" w:cs="Calibri"/>
          <w:sz w:val="26"/>
          <w:szCs w:val="26"/>
        </w:rPr>
        <w:t xml:space="preserve">.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получения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на цель, указанную в пункте 2 настоящего Порядка,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 напра</w:t>
      </w:r>
      <w:r>
        <w:rPr>
          <w:rFonts w:ascii="PT Astra Serif" w:hAnsi="PT Astra Serif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техническое задание </w:t>
      </w:r>
      <w:r>
        <w:rPr>
          <w:rFonts w:ascii="PT Astra Serif" w:hAnsi="PT Astra Serif" w:eastAsiaTheme="minorHAnsi"/>
          <w:sz w:val="26"/>
          <w:szCs w:val="26"/>
        </w:rPr>
        <w:t xml:space="preserve">и план мероприятий по достижению результатов предоставления субсидии на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объекта</w:t>
      </w:r>
      <w:r>
        <w:rPr>
          <w:rFonts w:ascii="PT Astra Serif" w:hAnsi="PT Astra Serif" w:eastAsiaTheme="minorHAnsi"/>
          <w:sz w:val="26"/>
          <w:szCs w:val="26"/>
        </w:rPr>
        <w:t xml:space="preserve">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</w:t>
      </w:r>
      <w:r>
        <w:rPr>
          <w:rFonts w:ascii="PT Astra Serif" w:hAnsi="PT Astra Serif" w:eastAsiaTheme="minorHAnsi"/>
          <w:sz w:val="26"/>
          <w:szCs w:val="26"/>
        </w:rPr>
        <w:t xml:space="preserve">у</w:t>
      </w:r>
      <w:r>
        <w:rPr>
          <w:rFonts w:ascii="PT Astra Serif" w:hAnsi="PT Astra Serif" w:eastAsiaTheme="minorHAnsi"/>
          <w:sz w:val="26"/>
          <w:szCs w:val="26"/>
        </w:rPr>
        <w:t xml:space="preserve">чредителем в журнале регистрации входящих документов.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</w:t>
      </w:r>
      <w:r>
        <w:rPr>
          <w:rFonts w:ascii="PT Astra Serif" w:hAnsi="PT Astra Serif" w:eastAsiaTheme="minorHAnsi"/>
          <w:sz w:val="26"/>
          <w:szCs w:val="26"/>
        </w:rPr>
        <w:t xml:space="preserve">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</w:t>
      </w:r>
      <w:r>
        <w:rPr>
          <w:rFonts w:ascii="PT Astra Serif" w:hAnsi="PT Astra Serif" w:eastAsiaTheme="minorHAnsi"/>
          <w:sz w:val="26"/>
          <w:szCs w:val="26"/>
        </w:rPr>
        <w:t xml:space="preserve">учателя субсидии с </w:t>
      </w:r>
      <w:r>
        <w:rPr>
          <w:rFonts w:ascii="PT Astra Serif" w:hAnsi="PT Astra Serif" w:eastAsiaTheme="minorHAnsi"/>
          <w:sz w:val="26"/>
          <w:szCs w:val="26"/>
        </w:rPr>
        <w:t xml:space="preserve">заявкой на получение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</w:t>
      </w:r>
      <w:r>
        <w:rPr>
          <w:rFonts w:ascii="PT Astra Serif" w:hAnsi="PT Astra Serif" w:eastAsiaTheme="minorHAnsi"/>
          <w:sz w:val="26"/>
          <w:szCs w:val="26"/>
        </w:rPr>
        <w:t xml:space="preserve">. Комитет </w:t>
      </w:r>
      <w:r>
        <w:rPr>
          <w:rFonts w:ascii="PT Astra Serif" w:hAnsi="PT Astra Serif" w:eastAsiaTheme="minorHAnsi"/>
          <w:sz w:val="26"/>
          <w:szCs w:val="26"/>
        </w:rPr>
        <w:t xml:space="preserve">осуществляет рассмотрение документов, указанных в пункт</w:t>
      </w:r>
      <w:r>
        <w:rPr>
          <w:rFonts w:ascii="PT Astra Serif" w:hAnsi="PT Astra Serif" w:eastAsiaTheme="minorHAnsi"/>
          <w:sz w:val="26"/>
          <w:szCs w:val="26"/>
        </w:rPr>
        <w:t xml:space="preserve">ах</w:t>
      </w:r>
      <w:r>
        <w:rPr>
          <w:rFonts w:ascii="PT Astra Serif" w:hAnsi="PT Astra Serif" w:eastAsiaTheme="minorHAnsi"/>
          <w:sz w:val="26"/>
          <w:szCs w:val="26"/>
        </w:rPr>
        <w:t xml:space="preserve"> 4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5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в течение десяти рабочих дней с</w:t>
      </w:r>
      <w:r>
        <w:rPr>
          <w:rFonts w:ascii="PT Astra Serif" w:hAnsi="PT Astra Serif" w:eastAsiaTheme="minorHAnsi"/>
          <w:sz w:val="26"/>
          <w:szCs w:val="26"/>
        </w:rPr>
        <w:t xml:space="preserve">о дня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документов</w:t>
      </w:r>
      <w:r>
        <w:rPr>
          <w:rFonts w:ascii="PT Astra Serif" w:hAnsi="PT Astra Serif" w:eastAsiaTheme="minorHAnsi"/>
          <w:sz w:val="26"/>
          <w:szCs w:val="26"/>
        </w:rPr>
        <w:t xml:space="preserve"> 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распоряжением</w:t>
      </w:r>
      <w:r>
        <w:rPr>
          <w:rFonts w:ascii="PT Astra Serif" w:hAnsi="PT Astra Serif" w:eastAsiaTheme="minorHAnsi"/>
          <w:sz w:val="26"/>
          <w:szCs w:val="26"/>
        </w:rPr>
        <w:t xml:space="preserve">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9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 затраты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 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Лечебница городская, 1888г.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»,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22,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определяемые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 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объе</w:t>
      </w:r>
      <w:r>
        <w:rPr>
          <w:rFonts w:ascii="PT Astra Serif" w:hAnsi="PT Astra Serif" w:eastAsiaTheme="minorHAnsi"/>
          <w:sz w:val="26"/>
          <w:szCs w:val="26"/>
        </w:rPr>
        <w:t xml:space="preserve">кта культурного наследия регионального значения «Лечебница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1888г., расположенного по адресу: г. Томск, 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22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получившей положительное заключение экспертизы достоверности сметной стоимости.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20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21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22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23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4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 получателем субсидии письменного уведомления от Комитета;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выполненные</w:t>
      </w:r>
      <w:r>
        <w:rPr>
          <w:rFonts w:ascii="PT Astra Serif" w:hAnsi="PT Astra Serif" w:eastAsiaTheme="minorHAnsi"/>
          <w:sz w:val="26"/>
          <w:szCs w:val="26"/>
        </w:rPr>
        <w:t xml:space="preserve"> работ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 </w:t>
      </w:r>
      <w:r>
        <w:rPr>
          <w:rFonts w:ascii="PT Astra Serif" w:hAnsi="PT Astra Serif" w:eastAsiaTheme="minorHAnsi"/>
          <w:sz w:val="26"/>
          <w:szCs w:val="26"/>
        </w:rPr>
        <w:t xml:space="preserve">капитальному ремонту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отремонтированный объект</w:t>
      </w:r>
      <w:r>
        <w:rPr>
          <w:rFonts w:ascii="PT Astra Serif" w:hAnsi="PT Astra Serif" w:eastAsiaTheme="minorHAnsi"/>
          <w:sz w:val="26"/>
          <w:szCs w:val="26"/>
        </w:rPr>
        <w:t xml:space="preserve">, единица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выполненных работ.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Получатель субсидии предоставляет в Комитет отчет об использовании предоставленной субсидии на цель, указанную в п</w:t>
      </w:r>
      <w:r>
        <w:rPr>
          <w:rFonts w:ascii="PT Astra Serif" w:hAnsi="PT Astra Serif" w:eastAsiaTheme="minorHAnsi"/>
          <w:sz w:val="26"/>
          <w:szCs w:val="26"/>
        </w:rPr>
        <w:t xml:space="preserve">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</w:t>
      </w:r>
      <w:r>
        <w:rPr>
          <w:rFonts w:ascii="PT Astra Serif" w:hAnsi="PT Astra Serif" w:eastAsiaTheme="minorHAnsi"/>
          <w:sz w:val="26"/>
          <w:szCs w:val="26"/>
        </w:rPr>
        <w:t xml:space="preserve">льтатов предоставления субсидии</w:t>
      </w:r>
      <w:r>
        <w:rPr>
          <w:rFonts w:ascii="PT Astra Serif" w:hAnsi="PT Astra Serif" w:eastAsiaTheme="minorHAnsi"/>
          <w:sz w:val="26"/>
          <w:szCs w:val="26"/>
        </w:rPr>
        <w:t xml:space="preserve"> (далее – отчет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), по формам, определенным в приложениях №№ 3, 4, 5 к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срок до </w:t>
      </w:r>
      <w:r>
        <w:rPr>
          <w:rFonts w:ascii="PT Astra Serif" w:hAnsi="PT Astra Serif" w:eastAsiaTheme="minorHAnsi"/>
          <w:sz w:val="26"/>
          <w:szCs w:val="26"/>
        </w:rPr>
        <w:t xml:space="preserve">25 декабря</w:t>
      </w:r>
      <w:r>
        <w:rPr>
          <w:rFonts w:ascii="PT Astra Serif" w:hAnsi="PT Astra Serif" w:eastAsiaTheme="minorHAnsi"/>
          <w:sz w:val="26"/>
          <w:szCs w:val="26"/>
        </w:rPr>
        <w:t xml:space="preserve">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</w:t>
      </w: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контроля за соблюдением целей, условий и порядка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очередном финансовом году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 ту же цель при наличии потребности в указанной субсидии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</w:t>
      </w:r>
      <w:r>
        <w:rPr>
          <w:rFonts w:ascii="PT Astra Serif" w:hAnsi="PT Astra Serif" w:eastAsiaTheme="minorHAnsi"/>
          <w:sz w:val="26"/>
          <w:szCs w:val="26"/>
        </w:rPr>
        <w:t xml:space="preserve">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года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</w:t>
      </w:r>
      <w:r>
        <w:rPr>
          <w:rFonts w:ascii="PT Astra Serif" w:hAnsi="PT Astra Serif" w:eastAsiaTheme="minorHAnsi"/>
          <w:sz w:val="26"/>
          <w:szCs w:val="26"/>
        </w:rPr>
        <w:t xml:space="preserve">обеспечения которых являются не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использованные </w:t>
      </w:r>
      <w:r>
        <w:rPr>
          <w:rFonts w:ascii="PT Astra Serif" w:hAnsi="PT Astra Serif" w:eastAsiaTheme="minorHAnsi"/>
          <w:sz w:val="26"/>
          <w:szCs w:val="26"/>
        </w:rPr>
        <w:t xml:space="preserve">на 1 января </w:t>
      </w:r>
      <w:r>
        <w:rPr>
          <w:rFonts w:ascii="PT Astra Serif" w:hAnsi="PT Astra Serif" w:eastAsiaTheme="minorHAnsi"/>
          <w:sz w:val="26"/>
          <w:szCs w:val="26"/>
        </w:rPr>
        <w:t xml:space="preserve">текущего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</w:t>
      </w:r>
      <w:r>
        <w:rPr>
          <w:rFonts w:ascii="PT Astra Serif" w:hAnsi="PT Astra Serif" w:eastAsiaTheme="minorHAnsi"/>
          <w:sz w:val="26"/>
          <w:szCs w:val="26"/>
        </w:rPr>
        <w:t xml:space="preserve">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</w:t>
      </w:r>
      <w:r>
        <w:rPr>
          <w:rFonts w:ascii="PT Astra Serif" w:hAnsi="PT Astra Serif" w:eastAsiaTheme="minorHAnsi"/>
          <w:sz w:val="26"/>
          <w:szCs w:val="26"/>
        </w:rPr>
        <w:t xml:space="preserve">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</w:t>
      </w:r>
      <w:r>
        <w:rPr>
          <w:rFonts w:ascii="PT Astra Serif" w:hAnsi="PT Astra Serif" w:eastAsiaTheme="minorHAnsi"/>
          <w:sz w:val="26"/>
          <w:szCs w:val="26"/>
        </w:rPr>
        <w:t xml:space="preserve">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</w:t>
      </w:r>
      <w:r>
        <w:rPr>
          <w:rFonts w:ascii="PT Astra Serif" w:hAnsi="PT Astra Serif" w:eastAsiaTheme="minorHAnsi"/>
          <w:sz w:val="26"/>
          <w:szCs w:val="26"/>
        </w:rPr>
        <w:t xml:space="preserve">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</w:t>
      </w:r>
      <w:r>
        <w:rPr>
          <w:rFonts w:ascii="PT Astra Serif" w:hAnsi="PT Astra Serif" w:eastAsiaTheme="minorHAnsi"/>
          <w:sz w:val="26"/>
          <w:szCs w:val="26"/>
        </w:rPr>
        <w:t xml:space="preserve">1 января </w:t>
      </w:r>
      <w:r>
        <w:rPr>
          <w:rFonts w:ascii="PT Astra Serif" w:hAnsi="PT Astra Serif" w:eastAsiaTheme="minorHAnsi"/>
          <w:sz w:val="26"/>
          <w:szCs w:val="26"/>
        </w:rPr>
        <w:t xml:space="preserve">очередного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финансово</w:t>
      </w:r>
      <w:r>
        <w:rPr>
          <w:rFonts w:ascii="PT Astra Serif" w:hAnsi="PT Astra Serif" w:eastAsiaTheme="minorHAnsi"/>
          <w:sz w:val="26"/>
          <w:szCs w:val="26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</w:t>
      </w:r>
      <w:r>
        <w:rPr>
          <w:rFonts w:ascii="PT Astra Serif" w:hAnsi="PT Astra Serif" w:eastAsiaTheme="minorHAnsi"/>
          <w:sz w:val="26"/>
          <w:szCs w:val="26"/>
        </w:rPr>
        <w:t xml:space="preserve">в </w:t>
      </w:r>
      <w:r>
        <w:rPr>
          <w:rFonts w:ascii="PT Astra Serif" w:hAnsi="PT Astra Serif" w:eastAsiaTheme="minorHAnsi"/>
          <w:sz w:val="26"/>
          <w:szCs w:val="26"/>
        </w:rPr>
        <w:t xml:space="preserve">о</w:t>
      </w:r>
      <w:r>
        <w:rPr>
          <w:rFonts w:ascii="PT Astra Serif" w:hAnsi="PT Astra Serif" w:eastAsiaTheme="minorHAnsi"/>
          <w:sz w:val="26"/>
          <w:szCs w:val="26"/>
        </w:rPr>
        <w:t xml:space="preserve">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</w:t>
      </w:r>
      <w:r>
        <w:rPr>
          <w:rFonts w:ascii="PT Astra Serif" w:hAnsi="PT Astra Serif" w:eastAsiaTheme="minorHAnsi"/>
          <w:sz w:val="26"/>
          <w:szCs w:val="26"/>
        </w:rPr>
        <w:t xml:space="preserve">до 1 марта </w:t>
      </w:r>
      <w:r>
        <w:rPr>
          <w:rFonts w:ascii="PT Astra Serif" w:hAnsi="PT Astra Serif" w:eastAsiaTheme="minorHAnsi"/>
          <w:sz w:val="26"/>
          <w:szCs w:val="26"/>
        </w:rPr>
        <w:t xml:space="preserve">очередного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5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Комитет в течение пятнадцати рабочих дней со дня поступления документов, указанных в </w:t>
      </w:r>
      <w:hyperlink r:id="rId26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shd w:val="nil" w:color="auto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</w:t>
      </w:r>
      <w:r>
        <w:rPr>
          <w:rFonts w:ascii="PT Astra Serif" w:hAnsi="PT Astra Serif" w:eastAsiaTheme="minorHAnsi"/>
          <w:sz w:val="26"/>
          <w:szCs w:val="26"/>
        </w:rPr>
        <w:t xml:space="preserve">к Порядку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</w:t>
      </w:r>
      <w:r>
        <w:rPr>
          <w:rFonts w:ascii="PT Astra Serif" w:hAnsi="PT Astra Serif" w:eastAsiaTheme="minorHAnsi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</w:t>
      </w:r>
      <w:r>
        <w:rPr>
          <w:rFonts w:ascii="PT Astra Serif" w:hAnsi="PT Astra Serif" w:eastAsiaTheme="minorHAnsi"/>
          <w:sz w:val="26"/>
          <w:szCs w:val="26"/>
        </w:rPr>
        <w:t xml:space="preserve">ремонта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Ушайки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 размере _______ руб.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</w:t>
      </w:r>
      <w:r>
        <w:rPr>
          <w:rFonts w:ascii="PT Astra Serif" w:hAnsi="PT Astra Serif" w:eastAsiaTheme="minorHAnsi"/>
          <w:sz w:val="26"/>
          <w:szCs w:val="26"/>
        </w:rPr>
        <w:t xml:space="preserve">__</w:t>
      </w:r>
      <w:r>
        <w:rPr>
          <w:rFonts w:ascii="PT Astra Serif" w:hAnsi="PT Astra Serif" w:eastAsiaTheme="minorHAnsi"/>
          <w:sz w:val="26"/>
          <w:szCs w:val="26"/>
        </w:rPr>
        <w:t xml:space="preserve">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</w:t>
      </w:r>
      <w:r>
        <w:rPr>
          <w:rFonts w:ascii="PT Astra Serif" w:hAnsi="PT Astra Serif" w:eastAsiaTheme="minorHAnsi"/>
          <w:sz w:val="26"/>
          <w:szCs w:val="26"/>
        </w:rPr>
        <w:t xml:space="preserve">__</w:t>
      </w:r>
      <w:r>
        <w:rPr>
          <w:rFonts w:ascii="PT Astra Serif" w:hAnsi="PT Astra Serif" w:eastAsiaTheme="minorHAnsi"/>
          <w:sz w:val="26"/>
          <w:szCs w:val="26"/>
        </w:rPr>
        <w:t xml:space="preserve">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numPr>
          <w:ilvl w:val="0"/>
          <w:numId w:val="18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 w:eastAsiaTheme="minorHAnsi"/>
          <w:sz w:val="26"/>
          <w:szCs w:val="26"/>
          <w:lang w:val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</w:t>
      </w:r>
      <w:r>
        <w:rPr>
          <w:rFonts w:ascii="PT Astra Serif" w:hAnsi="PT Astra Serif" w:eastAsiaTheme="minorHAnsi"/>
          <w:sz w:val="20"/>
          <w:szCs w:val="20"/>
        </w:rPr>
        <w:t xml:space="preserve">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</w:t>
      </w:r>
      <w:r>
        <w:rPr>
          <w:rFonts w:ascii="PT Astra Serif" w:hAnsi="PT Astra Serif" w:eastAsiaTheme="minorHAnsi"/>
          <w:sz w:val="20"/>
          <w:szCs w:val="20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0"/>
          <w:szCs w:val="20"/>
        </w:rPr>
        <w:t xml:space="preserve"> объекта культурного наследия регионального значения «Лечебница городская</w:t>
      </w:r>
      <w:r>
        <w:rPr>
          <w:rFonts w:ascii="PT Astra Serif" w:hAnsi="PT Astra Serif" w:eastAsiaTheme="minorHAnsi"/>
          <w:sz w:val="20"/>
          <w:szCs w:val="20"/>
        </w:rPr>
        <w:t xml:space="preserve">», 1888г.</w:t>
      </w:r>
      <w:r>
        <w:rPr>
          <w:rFonts w:ascii="PT Astra Serif" w:hAnsi="PT Astra Serif" w:eastAsiaTheme="minorHAnsi"/>
          <w:sz w:val="20"/>
          <w:szCs w:val="20"/>
        </w:rPr>
        <w:t xml:space="preserve">, расположенного по адресу: г. Томск, Набережная реки </w:t>
      </w:r>
      <w:r>
        <w:rPr>
          <w:rFonts w:ascii="PT Astra Serif" w:hAnsi="PT Astra Serif" w:eastAsiaTheme="minorHAnsi"/>
          <w:sz w:val="20"/>
          <w:szCs w:val="20"/>
        </w:rPr>
        <w:t xml:space="preserve">Ушайки</w:t>
      </w:r>
      <w:r>
        <w:rPr>
          <w:rFonts w:ascii="PT Astra Serif" w:hAnsi="PT Astra Serif" w:eastAsiaTheme="minorHAnsi"/>
          <w:sz w:val="20"/>
          <w:szCs w:val="20"/>
        </w:rPr>
        <w:t xml:space="preserve">, 22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(фамилия, имя, отчество,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shd w:val="nil" w:color="auto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Ушайки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л.;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__л.*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1"/>
          <w:headerReference w:type="first" r:id="rId12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3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  <w:highlight w:val="none"/>
        </w:rPr>
      </w:r>
      <w:r>
        <w:rPr>
          <w:rFonts w:ascii="PT Astra Serif" w:hAnsi="PT Astra Serif" w:cs="Times New Roman" w:eastAsiaTheme="minorHAnsi"/>
          <w:sz w:val="26"/>
          <w:szCs w:val="26"/>
          <w:highlight w:val="none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92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680"/>
        <w:gridCol w:w="850"/>
        <w:gridCol w:w="1843"/>
        <w:gridCol w:w="850"/>
        <w:gridCol w:w="1306"/>
        <w:gridCol w:w="1701"/>
        <w:gridCol w:w="850"/>
        <w:gridCol w:w="1559"/>
        <w:gridCol w:w="851"/>
        <w:gridCol w:w="1528"/>
        <w:gridCol w:w="1377"/>
      </w:tblGrid>
      <w:tr>
        <w:trPr/>
        <w:tc>
          <w:tcPr>
            <w:gridSpan w:val="2"/>
            <w:tcW w:w="18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Субсидия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6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Остаток субсидии на начало текущего финансового года</w:t>
            </w:r>
            <w:r>
              <w:rPr>
                <w:sz w:val="22"/>
              </w:rPr>
            </w:r>
            <w:r/>
          </w:p>
        </w:tc>
        <w:tc>
          <w:tcPr>
            <w:gridSpan w:val="3"/>
            <w:tcW w:w="385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Поступления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Выплаты</w:t>
            </w:r>
            <w:r>
              <w:rPr>
                <w:sz w:val="22"/>
              </w:rPr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Остаток субсидии на конец отчетного периода</w:t>
            </w:r>
            <w:r>
              <w:rPr>
                <w:sz w:val="22"/>
              </w:rPr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наиме-нование</w:t>
            </w:r>
            <w:r>
              <w:rPr>
                <w:sz w:val="22"/>
              </w:rPr>
            </w:r>
            <w:r/>
          </w:p>
        </w:tc>
        <w:tc>
          <w:tcPr>
            <w:tcW w:w="68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код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из них, разрешенный к использованию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300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 том числе: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из них: возвращено в областной бюджет</w:t>
            </w:r>
            <w:r>
              <w:rPr>
                <w:sz w:val="22"/>
              </w:rPr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 том числе:</w:t>
            </w:r>
            <w:r>
              <w:rPr>
                <w:sz w:val="22"/>
              </w:rPr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68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из областного бюджета</w:t>
            </w:r>
            <w:r>
              <w:rPr>
                <w:sz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возврат дебиторской задолженности прошлых лет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требуется в направлении на те же цели</w:t>
            </w:r>
            <w:r>
              <w:rPr>
                <w:sz w:val="22"/>
              </w:rPr>
            </w:r>
            <w:r/>
          </w:p>
        </w:tc>
        <w:tc>
          <w:tcPr>
            <w:tcW w:w="137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подлежит возврату</w:t>
            </w:r>
            <w:r>
              <w:rPr>
                <w:sz w:val="22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1</w:t>
            </w:r>
            <w:r>
              <w:rPr>
                <w:sz w:val="22"/>
              </w:rPr>
            </w:r>
            <w:r/>
          </w:p>
        </w:tc>
        <w:tc>
          <w:tcPr>
            <w:tcW w:w="6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2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3</w:t>
            </w:r>
            <w:r>
              <w:rPr>
                <w:sz w:val="22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4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5</w:t>
            </w:r>
            <w:r>
              <w:rPr>
                <w:sz w:val="22"/>
              </w:rPr>
            </w:r>
            <w:r/>
          </w:p>
        </w:tc>
        <w:tc>
          <w:tcPr>
            <w:tcW w:w="13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6</w:t>
            </w:r>
            <w:r>
              <w:rPr>
                <w:sz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7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8</w:t>
            </w:r>
            <w:r>
              <w:rPr>
                <w:sz w:val="22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9</w:t>
            </w:r>
            <w:r>
              <w:rPr>
                <w:sz w:val="22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10</w:t>
            </w:r>
            <w:r>
              <w:rPr>
                <w:sz w:val="22"/>
              </w:rPr>
            </w:r>
            <w:r/>
          </w:p>
        </w:tc>
        <w:tc>
          <w:tcPr>
            <w:tcW w:w="15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11</w:t>
            </w:r>
            <w:r>
              <w:rPr>
                <w:sz w:val="22"/>
              </w:rPr>
            </w:r>
            <w:r/>
          </w:p>
        </w:tc>
        <w:tc>
          <w:tcPr>
            <w:tcW w:w="137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12</w:t>
            </w:r>
            <w:r>
              <w:rPr>
                <w:sz w:val="22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68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30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2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37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68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30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2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37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Style w:val="99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Ушайки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Ушайки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п/п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Style w:val="99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pStyle w:val="984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</w:t>
      </w:r>
      <w:r>
        <w:rPr>
          <w:rFonts w:ascii="PT Astra Serif" w:hAnsi="PT Astra Serif" w:eastAsiaTheme="minorHAnsi"/>
          <w:sz w:val="26"/>
          <w:szCs w:val="26"/>
        </w:rPr>
        <w:t xml:space="preserve"> объема и </w:t>
      </w:r>
      <w:r>
        <w:rPr>
          <w:rFonts w:ascii="PT Astra Serif" w:hAnsi="PT Astra Serif" w:eastAsiaTheme="minorHAnsi"/>
          <w:sz w:val="26"/>
          <w:szCs w:val="26"/>
        </w:rPr>
        <w:t xml:space="preserve">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г.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регионального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Лечебница городская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1888г.</w:t>
      </w:r>
      <w:r>
        <w:rPr>
          <w:rFonts w:ascii="PT Astra Serif" w:hAnsi="PT Astra Serif" w:eastAsiaTheme="minorHAnsi"/>
          <w:sz w:val="26"/>
          <w:szCs w:val="26"/>
        </w:rPr>
        <w:t xml:space="preserve">, расположенного по 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</w:t>
      </w:r>
      <w:r>
        <w:rPr>
          <w:rFonts w:ascii="PT Astra Serif" w:hAnsi="PT Astra Serif" w:eastAsiaTheme="minorHAnsi"/>
          <w:sz w:val="26"/>
          <w:szCs w:val="26"/>
        </w:rPr>
        <w:t xml:space="preserve">Набережная реки </w:t>
      </w:r>
      <w:r>
        <w:rPr>
          <w:rFonts w:ascii="PT Astra Serif" w:hAnsi="PT Astra Serif" w:eastAsiaTheme="minorHAnsi"/>
          <w:sz w:val="26"/>
          <w:szCs w:val="26"/>
        </w:rPr>
        <w:t xml:space="preserve">Ушайки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22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27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6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учреждения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</w:t>
      </w:r>
      <w:r>
        <w:rPr>
          <w:rFonts w:ascii="PT Astra Serif" w:hAnsi="PT Astra Serif" w:eastAsiaTheme="minorHAnsi"/>
          <w:lang w:eastAsia="en-US"/>
        </w:rPr>
        <w:t xml:space="preserve">________________</w:t>
      </w:r>
      <w:r>
        <w:rPr>
          <w:rFonts w:ascii="PT Astra Serif" w:hAnsi="PT Astra Serif" w:eastAsiaTheme="minorHAnsi"/>
          <w:lang w:eastAsia="en-US"/>
        </w:rPr>
        <w:t xml:space="preserve">_____/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709" w:right="1134" w:bottom="850" w:left="1134" w:header="708" w:footer="708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 17.02.2023    №  0027/01-07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Настоящий Порядок устанавливает правила определения объема и условия предоставления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</w:t>
      </w:r>
      <w:r>
        <w:rPr>
          <w:rFonts w:ascii="PT Astra Serif" w:hAnsi="PT Astra Serif" w:eastAsiaTheme="minorHAnsi"/>
          <w:sz w:val="26"/>
          <w:szCs w:val="26"/>
        </w:rPr>
        <w:t xml:space="preserve">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(далее – субсидия)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 на </w:t>
      </w:r>
      <w:r>
        <w:rPr>
          <w:rFonts w:ascii="PT Astra Serif" w:hAnsi="PT Astra Serif" w:eastAsiaTheme="minorHAnsi"/>
          <w:sz w:val="26"/>
          <w:szCs w:val="26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</w:t>
      </w:r>
      <w:r>
        <w:rPr>
          <w:rFonts w:ascii="PT Astra Serif" w:hAnsi="PT Astra Serif" w:eastAsiaTheme="minorHAnsi"/>
          <w:sz w:val="26"/>
          <w:szCs w:val="26"/>
        </w:rPr>
        <w:t xml:space="preserve"> путем их капитального ремонта в соответствии с</w:t>
      </w:r>
      <w:r>
        <w:rPr>
          <w:rFonts w:ascii="PT Astra Serif" w:hAnsi="PT Astra Serif" w:eastAsiaTheme="minorHAnsi"/>
          <w:sz w:val="26"/>
          <w:szCs w:val="26"/>
        </w:rPr>
        <w:t xml:space="preserve"> приложени</w:t>
      </w:r>
      <w:r>
        <w:rPr>
          <w:rFonts w:ascii="PT Astra Serif" w:hAnsi="PT Astra Serif" w:eastAsiaTheme="minorHAnsi"/>
          <w:sz w:val="26"/>
          <w:szCs w:val="26"/>
        </w:rPr>
        <w:t xml:space="preserve">ем</w:t>
      </w:r>
      <w:r>
        <w:rPr>
          <w:rFonts w:ascii="PT Astra Serif" w:hAnsi="PT Astra Serif" w:eastAsiaTheme="minorHAnsi"/>
          <w:sz w:val="26"/>
          <w:szCs w:val="26"/>
        </w:rPr>
        <w:t xml:space="preserve"> № 10 к государственной программе Российской Федерации «Развитие здравоохранения»,</w:t>
      </w:r>
      <w:r>
        <w:rPr>
          <w:rFonts w:ascii="PT Astra Serif" w:hAnsi="PT Astra Serif" w:eastAsiaTheme="minorHAnsi"/>
          <w:sz w:val="26"/>
          <w:szCs w:val="26"/>
        </w:rPr>
        <w:t xml:space="preserve"> утвержденной постановлением Правит</w:t>
      </w:r>
      <w:r>
        <w:rPr>
          <w:rFonts w:ascii="PT Astra Serif" w:hAnsi="PT Astra Serif" w:eastAsiaTheme="minorHAnsi"/>
          <w:sz w:val="26"/>
          <w:szCs w:val="26"/>
        </w:rPr>
        <w:t xml:space="preserve">ельства Российской Федерации от 26.12.2017 № 1640 (далее – Правила предоставления субсидии) за счет средств областного бюджета, выделенных в соответствии с Законом Томской области от 28.12.2022 №141-ОЗ «Об областном бюджете на 2023 год и на плановый период</w:t>
      </w:r>
      <w:r>
        <w:rPr>
          <w:rFonts w:ascii="PT Astra Serif" w:hAnsi="PT Astra Serif" w:eastAsiaTheme="minorHAnsi"/>
          <w:sz w:val="26"/>
          <w:szCs w:val="26"/>
        </w:rPr>
        <w:t xml:space="preserve"> 2024 и 2025 годов».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Больница, 1915г.</w:t>
      </w:r>
      <w:r>
        <w:rPr>
          <w:rFonts w:ascii="PT Astra Serif" w:hAnsi="PT Astra Serif" w:eastAsiaTheme="minorHAnsi"/>
          <w:sz w:val="26"/>
          <w:szCs w:val="26"/>
        </w:rPr>
        <w:t xml:space="preserve">»,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28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 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«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Больница, 1915г.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»,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г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51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определяемые 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на 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капитальный ремонт</w:t>
      </w:r>
      <w:r>
        <w:rPr>
          <w:rFonts w:ascii="PT Astra Serif" w:hAnsi="PT Astra Serif" w:eastAsiaTheme="minorHAnsi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51, </w:t>
      </w:r>
      <w:r>
        <w:rPr>
          <w:rFonts w:ascii="PT Astra Serif" w:hAnsi="PT Astra Serif" w:eastAsiaTheme="minorHAnsi"/>
          <w:sz w:val="26"/>
          <w:szCs w:val="26"/>
        </w:rPr>
        <w:t xml:space="preserve">получившей положительное заключение экспертизы достоверности сметной стоимости.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29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30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31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32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33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 получателем субсидии письменного уведомления от Комитета;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</w:t>
      </w:r>
      <w:r>
        <w:rPr>
          <w:rFonts w:ascii="PT Astra Serif" w:hAnsi="PT Astra Serif" w:eastAsiaTheme="minorHAnsi"/>
          <w:sz w:val="26"/>
          <w:szCs w:val="26"/>
        </w:rPr>
        <w:t xml:space="preserve"> работ по </w:t>
      </w:r>
      <w:r>
        <w:rPr>
          <w:rFonts w:ascii="PT Astra Serif" w:hAnsi="PT Astra Serif" w:eastAsiaTheme="minorHAnsi"/>
          <w:sz w:val="26"/>
          <w:szCs w:val="26"/>
        </w:rPr>
        <w:t xml:space="preserve">капитальному ремонту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Больница, 1915г.</w:t>
      </w:r>
      <w:r>
        <w:rPr>
          <w:rFonts w:ascii="PT Astra Serif" w:hAnsi="PT Astra Serif" w:eastAsiaTheme="minorHAnsi"/>
          <w:sz w:val="26"/>
          <w:szCs w:val="26"/>
        </w:rPr>
        <w:t xml:space="preserve">»,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отремонтированный объект</w:t>
      </w:r>
      <w:r>
        <w:rPr>
          <w:rFonts w:ascii="PT Astra Serif" w:hAnsi="PT Astra Serif" w:eastAsiaTheme="minorHAnsi"/>
          <w:sz w:val="26"/>
          <w:szCs w:val="26"/>
        </w:rPr>
        <w:t xml:space="preserve">, единица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</w:t>
      </w:r>
      <w:r>
        <w:rPr>
          <w:rFonts w:ascii="PT Astra Serif" w:hAnsi="PT Astra Serif" w:eastAsiaTheme="minorHAnsi"/>
          <w:sz w:val="26"/>
          <w:szCs w:val="26"/>
        </w:rPr>
        <w:t xml:space="preserve">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контроля за соблюдением целей, условий и порядка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мотивированное обращение</w:t>
      </w:r>
      <w:r>
        <w:rPr>
          <w:rFonts w:ascii="PT Astra Serif" w:hAnsi="PT Astra Serif" w:eastAsiaTheme="minorHAnsi"/>
          <w:sz w:val="26"/>
          <w:szCs w:val="26"/>
        </w:rPr>
        <w:t xml:space="preserve"> о </w:t>
      </w:r>
      <w:r>
        <w:rPr>
          <w:rFonts w:ascii="PT Astra Serif" w:hAnsi="PT Astra Serif" w:eastAsiaTheme="minorHAnsi"/>
          <w:sz w:val="26"/>
          <w:szCs w:val="26"/>
        </w:rPr>
        <w:t xml:space="preserve">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</w:t>
      </w:r>
      <w:r>
        <w:rPr>
          <w:rFonts w:ascii="PT Astra Serif" w:hAnsi="PT Astra Serif" w:eastAsiaTheme="minorHAnsi"/>
          <w:sz w:val="26"/>
          <w:szCs w:val="26"/>
        </w:rPr>
        <w:t xml:space="preserve">с приложением</w:t>
      </w:r>
      <w:r>
        <w:rPr>
          <w:rFonts w:ascii="PT Astra Serif" w:hAnsi="PT Astra Serif" w:eastAsiaTheme="minorHAnsi"/>
          <w:sz w:val="26"/>
          <w:szCs w:val="26"/>
        </w:rPr>
        <w:t xml:space="preserve">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 года.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 ту же цель или об отказе использования остатков субсидии в 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 на ту же цель принимается в форме распоряжения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</w:t>
      </w:r>
      <w:r>
        <w:rPr>
          <w:rFonts w:ascii="PT Astra Serif" w:hAnsi="PT Astra Serif" w:eastAsiaTheme="minorHAnsi"/>
          <w:sz w:val="26"/>
          <w:szCs w:val="26"/>
        </w:rPr>
        <w:t xml:space="preserve">очередном</w:t>
      </w:r>
      <w:r>
        <w:rPr>
          <w:rFonts w:ascii="PT Astra Serif" w:hAnsi="PT Astra Serif" w:eastAsiaTheme="minorHAnsi"/>
          <w:sz w:val="26"/>
          <w:szCs w:val="26"/>
        </w:rPr>
        <w:t xml:space="preserve">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34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Комитет в течение пятнадцати рабочих дней со дня поступления документов, указанных в </w:t>
      </w:r>
      <w:hyperlink r:id="rId35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shd w:val="nil" w:color="auto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 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в </w:t>
      </w:r>
      <w:r>
        <w:rPr>
          <w:rFonts w:ascii="PT Astra Serif" w:hAnsi="PT Astra Serif" w:eastAsiaTheme="minorHAnsi"/>
          <w:sz w:val="26"/>
          <w:szCs w:val="26"/>
        </w:rPr>
        <w:t xml:space="preserve">размере</w:t>
      </w:r>
      <w:r>
        <w:rPr>
          <w:rFonts w:ascii="PT Astra Serif" w:hAnsi="PT Astra Serif" w:eastAsiaTheme="minorHAnsi"/>
          <w:sz w:val="26"/>
          <w:szCs w:val="26"/>
        </w:rPr>
        <w:t xml:space="preserve"> _______ руб.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</w:t>
      </w:r>
      <w:r>
        <w:rPr>
          <w:rFonts w:ascii="PT Astra Serif" w:hAnsi="PT Astra Serif" w:eastAsiaTheme="minorHAnsi"/>
          <w:sz w:val="20"/>
          <w:szCs w:val="20"/>
        </w:rPr>
        <w:t xml:space="preserve"> прилагаемые документы, указанные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 </w:t>
      </w:r>
      <w:r>
        <w:rPr>
          <w:rFonts w:ascii="PT Astra Serif" w:hAnsi="PT Astra Serif" w:eastAsiaTheme="minorHAnsi"/>
          <w:sz w:val="20"/>
          <w:szCs w:val="20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выявленного объекта культурного наследия «Больница, 1915г.», </w:t>
      </w:r>
      <w:r>
        <w:rPr>
          <w:rFonts w:ascii="PT Astra Serif" w:hAnsi="PT Astra Serif" w:eastAsiaTheme="minorHAnsi"/>
          <w:sz w:val="20"/>
          <w:szCs w:val="20"/>
        </w:rPr>
        <w:t xml:space="preserve">расположенного по адресу: г. Томск, пр.</w:t>
      </w:r>
      <w:r>
        <w:rPr>
          <w:rFonts w:ascii="PT Astra Serif" w:hAnsi="PT Astra Serif" w:eastAsiaTheme="minorHAnsi"/>
          <w:sz w:val="20"/>
          <w:szCs w:val="20"/>
        </w:rPr>
        <w:t xml:space="preserve"> Ленина, </w:t>
      </w:r>
      <w:r>
        <w:rPr>
          <w:rFonts w:ascii="PT Astra Serif" w:hAnsi="PT Astra Serif" w:eastAsiaTheme="minorHAnsi"/>
          <w:sz w:val="20"/>
          <w:szCs w:val="20"/>
        </w:rPr>
        <w:t xml:space="preserve">51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   (фамилия, имя, отчество,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последнее – при наличии)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</w:t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shd w:val="nil" w:color="auto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Больница, 1915г.</w:t>
      </w:r>
      <w:r>
        <w:rPr>
          <w:rFonts w:ascii="PT Astra Serif" w:hAnsi="PT Astra Serif" w:eastAsiaTheme="minorHAnsi"/>
          <w:sz w:val="26"/>
          <w:szCs w:val="26"/>
        </w:rPr>
        <w:t xml:space="preserve">»,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л.;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__л.*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3"/>
          <w:headerReference w:type="first" r:id="rId14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на 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г.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992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Субсидия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Остаток субсидии на начало текущего финансового года</w:t>
            </w:r>
            <w:r>
              <w:rPr>
                <w:sz w:val="22"/>
              </w:rPr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Поступления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Выплаты</w:t>
            </w:r>
            <w:r>
              <w:rPr>
                <w:sz w:val="22"/>
              </w:rPr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Остаток субсидии на конец отчетного периода</w:t>
            </w:r>
            <w:r>
              <w:rPr>
                <w:sz w:val="22"/>
              </w:rPr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наиме-нование</w:t>
            </w:r>
            <w:r>
              <w:rPr>
                <w:sz w:val="22"/>
              </w:rPr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код</w:t>
            </w:r>
            <w:r>
              <w:rPr>
                <w:sz w:val="22"/>
              </w:rPr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из них, разрешенный к использованию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 том числе: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из них: возвращено в областной бюджет</w:t>
            </w:r>
            <w:r>
              <w:rPr>
                <w:sz w:val="22"/>
              </w:rPr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всего</w:t>
            </w:r>
            <w:r>
              <w:rPr>
                <w:sz w:val="22"/>
              </w:rPr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 xml:space="preserve">в том числе:</w:t>
            </w:r>
            <w:r>
              <w:rPr>
                <w:sz w:val="22"/>
              </w:rPr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из областного бюджета</w:t>
            </w:r>
            <w:r>
              <w:rPr>
                <w:sz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возврат дебиторской задолженности прошлых лет</w:t>
            </w:r>
            <w:r>
              <w:rPr>
                <w:sz w:val="22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требуется в направлении на те же цели</w:t>
            </w:r>
            <w:r>
              <w:rPr>
                <w:sz w:val="22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6"/>
              </w:rPr>
            </w:pPr>
            <w:r>
              <w:rPr>
                <w:rFonts w:ascii="PT Astra Serif" w:hAnsi="PT Astra Serif"/>
                <w:sz w:val="22"/>
              </w:rPr>
              <w:t xml:space="preserve">подлежит возврату</w:t>
            </w:r>
            <w:r>
              <w:rPr>
                <w:sz w:val="22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Style w:val="99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п/п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Style w:val="992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</w:tc>
      </w:tr>
    </w:tbl>
    <w:p>
      <w:pPr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4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 </w:t>
      </w:r>
      <w:r>
        <w:rPr>
          <w:rFonts w:ascii="PT Astra Serif" w:hAnsi="PT Astra Serif" w:eastAsiaTheme="minorHAnsi"/>
          <w:sz w:val="26"/>
          <w:szCs w:val="26"/>
        </w:rPr>
        <w:t xml:space="preserve">модернизацию первичного звена здравоохранения путем капитального ремонта </w:t>
      </w:r>
      <w:r>
        <w:rPr>
          <w:rFonts w:ascii="PT Astra Serif" w:hAnsi="PT Astra Serif" w:eastAsiaTheme="minorHAnsi"/>
          <w:sz w:val="26"/>
          <w:szCs w:val="26"/>
        </w:rPr>
        <w:t xml:space="preserve">выявленного </w:t>
      </w:r>
      <w:r>
        <w:rPr>
          <w:rFonts w:ascii="PT Astra Serif" w:hAnsi="PT Astra Serif" w:eastAsiaTheme="minorHAnsi"/>
          <w:sz w:val="26"/>
          <w:szCs w:val="26"/>
        </w:rPr>
        <w:t xml:space="preserve">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«</w:t>
      </w:r>
      <w:r>
        <w:rPr>
          <w:rFonts w:ascii="PT Astra Serif" w:hAnsi="PT Astra Serif" w:eastAsiaTheme="minorHAnsi"/>
          <w:sz w:val="26"/>
          <w:szCs w:val="26"/>
        </w:rPr>
        <w:t xml:space="preserve">Больница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, 1915г.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расположенного по адресу: </w:t>
      </w:r>
      <w:r>
        <w:rPr>
          <w:rFonts w:ascii="PT Astra Serif" w:hAnsi="PT Astra Serif" w:eastAsiaTheme="minorHAnsi"/>
          <w:sz w:val="26"/>
          <w:szCs w:val="26"/>
        </w:rPr>
        <w:t xml:space="preserve">г</w:t>
      </w:r>
      <w:r>
        <w:rPr>
          <w:rFonts w:ascii="PT Astra Serif" w:hAnsi="PT Astra Serif" w:eastAsiaTheme="minorHAnsi"/>
          <w:sz w:val="26"/>
          <w:szCs w:val="26"/>
        </w:rPr>
        <w:t xml:space="preserve">. Томск, пр. Ленина, </w:t>
      </w:r>
      <w:r>
        <w:rPr>
          <w:rFonts w:ascii="PT Astra Serif" w:hAnsi="PT Astra Serif" w:eastAsiaTheme="minorHAnsi"/>
          <w:sz w:val="26"/>
          <w:szCs w:val="26"/>
        </w:rPr>
        <w:t xml:space="preserve">51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pStyle w:val="983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36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6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</w:t>
      </w:r>
      <w:r>
        <w:rPr>
          <w:rFonts w:ascii="PT Astra Serif" w:hAnsi="PT Astra Serif" w:eastAsiaTheme="minorHAnsi"/>
          <w:lang w:eastAsia="en-US"/>
        </w:rPr>
        <w:t xml:space="preserve">_________________</w:t>
      </w:r>
      <w:r>
        <w:rPr>
          <w:rFonts w:ascii="PT Astra Serif" w:hAnsi="PT Astra Serif" w:eastAsiaTheme="minorHAnsi"/>
          <w:lang w:eastAsia="en-US"/>
        </w:rPr>
        <w:t xml:space="preserve">____/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амилия, имя, отчество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П</w:t>
      </w:r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  <w:r>
        <w:rPr>
          <w:rFonts w:eastAsiaTheme="minorHAnsi"/>
        </w:rPr>
      </w:r>
    </w:p>
    <w:sectPr>
      <w:headerReference w:type="default" r:id="rId15"/>
      <w:headerReference w:type="first" r:id="rId16"/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16260599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977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3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136021777"/>
      <w:docPartObj>
        <w:docPartGallery w:val="Page Numbers (Top of Page)"/>
        <w:docPartUnique w:val="true"/>
      </w:docPartObj>
      <w:rPr/>
    </w:sdtPr>
    <w:sdtContent>
      <w:p>
        <w:pPr>
          <w:pStyle w:val="977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15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jc w:val="center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328714411"/>
      <w:docPartObj>
        <w:docPartGallery w:val="Page Numbers (Top of Page)"/>
        <w:docPartUnique w:val="true"/>
      </w:docPartObj>
      <w:rPr/>
    </w:sdtPr>
    <w:sdtContent>
      <w:p>
        <w:pPr>
          <w:pStyle w:val="977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26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jc w:val="center"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009216927"/>
      <w:docPartObj>
        <w:docPartGallery w:val="Page Numbers (Top of Page)"/>
        <w:docPartUnique w:val="true"/>
      </w:docPartObj>
      <w:rPr/>
    </w:sdtPr>
    <w:sdtContent>
      <w:p>
        <w:pPr>
          <w:pStyle w:val="977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28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PT Astra Serif" w:eastAsiaTheme="minorHAnsi"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4"/>
  </w:num>
  <w:num w:numId="4">
    <w:abstractNumId w:val="4"/>
  </w:num>
  <w:num w:numId="5">
    <w:abstractNumId w:val="15"/>
  </w:num>
  <w:num w:numId="6">
    <w:abstractNumId w:val="3"/>
  </w:num>
  <w:num w:numId="7">
    <w:abstractNumId w:val="8"/>
  </w:num>
  <w:num w:numId="8">
    <w:abstractNumId w:val="11"/>
  </w:num>
  <w:num w:numId="9">
    <w:abstractNumId w:val="12"/>
  </w:num>
  <w:num w:numId="10">
    <w:abstractNumId w:val="0"/>
  </w:num>
  <w:num w:numId="11">
    <w:abstractNumId w:val="13"/>
  </w:num>
  <w:num w:numId="12">
    <w:abstractNumId w:val="18"/>
  </w:num>
  <w:num w:numId="13">
    <w:abstractNumId w:val="16"/>
  </w:num>
  <w:num w:numId="14">
    <w:abstractNumId w:val="6"/>
  </w:num>
  <w:num w:numId="15">
    <w:abstractNumId w:val="9"/>
  </w:num>
  <w:num w:numId="16">
    <w:abstractNumId w:val="5"/>
  </w:num>
  <w:num w:numId="17">
    <w:abstractNumId w:val="1"/>
  </w:num>
  <w:num w:numId="18">
    <w:abstractNumId w:val="2"/>
  </w:num>
  <w:num w:numId="19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3">
    <w:name w:val="Heading 1 Char"/>
    <w:basedOn w:val="973"/>
    <w:link w:val="972"/>
    <w:uiPriority w:val="9"/>
    <w:rPr>
      <w:rFonts w:ascii="Arial" w:hAnsi="Arial" w:cs="Arial" w:eastAsia="Arial"/>
      <w:sz w:val="40"/>
      <w:szCs w:val="40"/>
    </w:rPr>
  </w:style>
  <w:style w:type="paragraph" w:styleId="804">
    <w:name w:val="Heading 2"/>
    <w:basedOn w:val="971"/>
    <w:next w:val="971"/>
    <w:link w:val="80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805">
    <w:name w:val="Heading 2 Char"/>
    <w:basedOn w:val="973"/>
    <w:link w:val="804"/>
    <w:uiPriority w:val="9"/>
    <w:rPr>
      <w:rFonts w:ascii="Arial" w:hAnsi="Arial" w:cs="Arial" w:eastAsia="Arial"/>
      <w:sz w:val="34"/>
    </w:rPr>
  </w:style>
  <w:style w:type="paragraph" w:styleId="806">
    <w:name w:val="Heading 3"/>
    <w:basedOn w:val="971"/>
    <w:next w:val="971"/>
    <w:link w:val="80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807">
    <w:name w:val="Heading 3 Char"/>
    <w:basedOn w:val="973"/>
    <w:link w:val="806"/>
    <w:uiPriority w:val="9"/>
    <w:rPr>
      <w:rFonts w:ascii="Arial" w:hAnsi="Arial" w:cs="Arial" w:eastAsia="Arial"/>
      <w:sz w:val="30"/>
      <w:szCs w:val="30"/>
    </w:rPr>
  </w:style>
  <w:style w:type="paragraph" w:styleId="808">
    <w:name w:val="Heading 4"/>
    <w:basedOn w:val="971"/>
    <w:next w:val="971"/>
    <w:link w:val="80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809">
    <w:name w:val="Heading 4 Char"/>
    <w:basedOn w:val="973"/>
    <w:link w:val="808"/>
    <w:uiPriority w:val="9"/>
    <w:rPr>
      <w:rFonts w:ascii="Arial" w:hAnsi="Arial" w:cs="Arial" w:eastAsia="Arial"/>
      <w:b/>
      <w:bCs/>
      <w:sz w:val="26"/>
      <w:szCs w:val="26"/>
    </w:rPr>
  </w:style>
  <w:style w:type="paragraph" w:styleId="810">
    <w:name w:val="Heading 5"/>
    <w:basedOn w:val="971"/>
    <w:next w:val="971"/>
    <w:link w:val="81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811">
    <w:name w:val="Heading 5 Char"/>
    <w:basedOn w:val="973"/>
    <w:link w:val="810"/>
    <w:uiPriority w:val="9"/>
    <w:rPr>
      <w:rFonts w:ascii="Arial" w:hAnsi="Arial" w:cs="Arial" w:eastAsia="Arial"/>
      <w:b/>
      <w:bCs/>
      <w:sz w:val="24"/>
      <w:szCs w:val="24"/>
    </w:rPr>
  </w:style>
  <w:style w:type="paragraph" w:styleId="812">
    <w:name w:val="Heading 6"/>
    <w:basedOn w:val="971"/>
    <w:next w:val="971"/>
    <w:link w:val="81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813">
    <w:name w:val="Heading 6 Char"/>
    <w:basedOn w:val="973"/>
    <w:link w:val="812"/>
    <w:uiPriority w:val="9"/>
    <w:rPr>
      <w:rFonts w:ascii="Arial" w:hAnsi="Arial" w:cs="Arial" w:eastAsia="Arial"/>
      <w:b/>
      <w:bCs/>
      <w:sz w:val="22"/>
      <w:szCs w:val="22"/>
    </w:rPr>
  </w:style>
  <w:style w:type="paragraph" w:styleId="814">
    <w:name w:val="Heading 7"/>
    <w:basedOn w:val="971"/>
    <w:next w:val="971"/>
    <w:link w:val="81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15">
    <w:name w:val="Heading 7 Char"/>
    <w:basedOn w:val="973"/>
    <w:link w:val="8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6">
    <w:name w:val="Heading 8"/>
    <w:basedOn w:val="971"/>
    <w:next w:val="971"/>
    <w:link w:val="81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17">
    <w:name w:val="Heading 8 Char"/>
    <w:basedOn w:val="973"/>
    <w:link w:val="816"/>
    <w:uiPriority w:val="9"/>
    <w:rPr>
      <w:rFonts w:ascii="Arial" w:hAnsi="Arial" w:cs="Arial" w:eastAsia="Arial"/>
      <w:i/>
      <w:iCs/>
      <w:sz w:val="22"/>
      <w:szCs w:val="22"/>
    </w:rPr>
  </w:style>
  <w:style w:type="paragraph" w:styleId="818">
    <w:name w:val="Heading 9"/>
    <w:basedOn w:val="971"/>
    <w:next w:val="971"/>
    <w:link w:val="81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19">
    <w:name w:val="Heading 9 Char"/>
    <w:basedOn w:val="973"/>
    <w:link w:val="818"/>
    <w:uiPriority w:val="9"/>
    <w:rPr>
      <w:rFonts w:ascii="Arial" w:hAnsi="Arial" w:cs="Arial" w:eastAsia="Arial"/>
      <w:i/>
      <w:iCs/>
      <w:sz w:val="21"/>
      <w:szCs w:val="21"/>
    </w:rPr>
  </w:style>
  <w:style w:type="paragraph" w:styleId="820">
    <w:name w:val="No Spacing"/>
    <w:qFormat/>
    <w:uiPriority w:val="1"/>
    <w:pPr>
      <w:spacing w:lineRule="auto" w:line="240" w:after="0" w:before="0"/>
    </w:pPr>
  </w:style>
  <w:style w:type="paragraph" w:styleId="821">
    <w:name w:val="Title"/>
    <w:basedOn w:val="971"/>
    <w:next w:val="971"/>
    <w:link w:val="82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22">
    <w:name w:val="Title Char"/>
    <w:basedOn w:val="973"/>
    <w:link w:val="821"/>
    <w:uiPriority w:val="10"/>
    <w:rPr>
      <w:sz w:val="48"/>
      <w:szCs w:val="48"/>
    </w:rPr>
  </w:style>
  <w:style w:type="paragraph" w:styleId="823">
    <w:name w:val="Subtitle"/>
    <w:basedOn w:val="971"/>
    <w:next w:val="971"/>
    <w:link w:val="824"/>
    <w:qFormat/>
    <w:uiPriority w:val="11"/>
    <w:rPr>
      <w:sz w:val="24"/>
      <w:szCs w:val="24"/>
    </w:rPr>
    <w:pPr>
      <w:spacing w:after="200" w:before="200"/>
    </w:pPr>
  </w:style>
  <w:style w:type="character" w:styleId="824">
    <w:name w:val="Subtitle Char"/>
    <w:basedOn w:val="973"/>
    <w:link w:val="823"/>
    <w:uiPriority w:val="11"/>
    <w:rPr>
      <w:sz w:val="24"/>
      <w:szCs w:val="24"/>
    </w:rPr>
  </w:style>
  <w:style w:type="paragraph" w:styleId="825">
    <w:name w:val="Quote"/>
    <w:basedOn w:val="971"/>
    <w:next w:val="971"/>
    <w:link w:val="826"/>
    <w:qFormat/>
    <w:uiPriority w:val="29"/>
    <w:rPr>
      <w:i/>
    </w:rPr>
    <w:pPr>
      <w:ind w:left="720" w:right="720"/>
    </w:pPr>
  </w:style>
  <w:style w:type="character" w:styleId="826">
    <w:name w:val="Quote Char"/>
    <w:link w:val="825"/>
    <w:uiPriority w:val="29"/>
    <w:rPr>
      <w:i/>
    </w:rPr>
  </w:style>
  <w:style w:type="paragraph" w:styleId="827">
    <w:name w:val="Intense Quote"/>
    <w:basedOn w:val="971"/>
    <w:next w:val="971"/>
    <w:link w:val="828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28">
    <w:name w:val="Intense Quote Char"/>
    <w:link w:val="827"/>
    <w:uiPriority w:val="30"/>
    <w:rPr>
      <w:i/>
    </w:rPr>
  </w:style>
  <w:style w:type="character" w:styleId="829">
    <w:name w:val="Header Char"/>
    <w:basedOn w:val="973"/>
    <w:link w:val="977"/>
    <w:uiPriority w:val="99"/>
  </w:style>
  <w:style w:type="character" w:styleId="830">
    <w:name w:val="Footer Char"/>
    <w:basedOn w:val="973"/>
    <w:link w:val="979"/>
    <w:uiPriority w:val="99"/>
  </w:style>
  <w:style w:type="paragraph" w:styleId="831">
    <w:name w:val="Caption"/>
    <w:basedOn w:val="971"/>
    <w:next w:val="97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32">
    <w:name w:val="Caption Char"/>
    <w:basedOn w:val="831"/>
    <w:link w:val="979"/>
    <w:uiPriority w:val="99"/>
  </w:style>
  <w:style w:type="table" w:styleId="833">
    <w:name w:val="Table Grid Light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4">
    <w:name w:val="Plain Table 1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5">
    <w:name w:val="Plain Table 2"/>
    <w:basedOn w:val="97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7">
    <w:name w:val="Plain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Plain Table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9">
    <w:name w:val="Grid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47">
    <w:name w:val="Grid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48">
    <w:name w:val="Grid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49">
    <w:name w:val="Grid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Grid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Grid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Grid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Grid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61">
    <w:name w:val="Grid Table 4 - Accent 1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62">
    <w:name w:val="Grid Table 4 - Accent 2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63">
    <w:name w:val="Grid Table 4 - Accent 3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64">
    <w:name w:val="Grid Table 4 - Accent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5">
    <w:name w:val="Grid Table 4 - Accent 5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6">
    <w:name w:val="Grid Table 4 - Accent 6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67">
    <w:name w:val="Grid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68">
    <w:name w:val="Grid Table 5 Dark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69">
    <w:name w:val="Grid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70">
    <w:name w:val="Grid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71">
    <w:name w:val="Grid Table 5 Dark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72">
    <w:name w:val="Grid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3">
    <w:name w:val="Grid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74">
    <w:name w:val="Grid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5">
    <w:name w:val="Grid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6">
    <w:name w:val="Grid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7">
    <w:name w:val="Grid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8">
    <w:name w:val="Grid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9">
    <w:name w:val="Grid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0">
    <w:name w:val="Grid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82">
    <w:name w:val="Grid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83">
    <w:name w:val="Grid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4">
    <w:name w:val="Grid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List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List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List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List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List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List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List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List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6">
    <w:name w:val="List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97">
    <w:name w:val="List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98">
    <w:name w:val="List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99">
    <w:name w:val="List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00">
    <w:name w:val="List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01">
    <w:name w:val="List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02">
    <w:name w:val="List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7">
    <w:name w:val="List Table 5 Dark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24">
    <w:name w:val="List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5">
    <w:name w:val="List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6">
    <w:name w:val="List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27">
    <w:name w:val="List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28">
    <w:name w:val="List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29">
    <w:name w:val="List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30">
    <w:name w:val="List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1">
    <w:name w:val="List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2">
    <w:name w:val="List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3">
    <w:name w:val="List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4">
    <w:name w:val="List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5">
    <w:name w:val="List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6">
    <w:name w:val="List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7">
    <w:name w:val="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38">
    <w:name w:val="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39">
    <w:name w:val="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40">
    <w:name w:val="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41">
    <w:name w:val="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42">
    <w:name w:val="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43">
    <w:name w:val="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44">
    <w:name w:val="Bordered &amp; 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45">
    <w:name w:val="Bordered &amp; 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46">
    <w:name w:val="Bordered &amp; 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47">
    <w:name w:val="Bordered &amp; 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48">
    <w:name w:val="Bordered &amp; 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49">
    <w:name w:val="Bordered &amp; 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50">
    <w:name w:val="Bordered &amp; 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51">
    <w:name w:val="Bordered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52">
    <w:name w:val="Bordered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53">
    <w:name w:val="Bordered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54">
    <w:name w:val="Bordered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5">
    <w:name w:val="Bordered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6">
    <w:name w:val="Bordered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57">
    <w:name w:val="Bordered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958">
    <w:name w:val="Footnote Text Char"/>
    <w:link w:val="989"/>
    <w:uiPriority w:val="99"/>
    <w:rPr>
      <w:sz w:val="18"/>
    </w:rPr>
  </w:style>
  <w:style w:type="character" w:styleId="959">
    <w:name w:val="Endnote Text Char"/>
    <w:link w:val="986"/>
    <w:uiPriority w:val="99"/>
    <w:rPr>
      <w:sz w:val="20"/>
    </w:rPr>
  </w:style>
  <w:style w:type="paragraph" w:styleId="960">
    <w:name w:val="toc 1"/>
    <w:basedOn w:val="971"/>
    <w:next w:val="971"/>
    <w:uiPriority w:val="39"/>
    <w:unhideWhenUsed/>
    <w:pPr>
      <w:ind w:left="0" w:right="0" w:firstLine="0"/>
      <w:spacing w:after="57"/>
    </w:pPr>
  </w:style>
  <w:style w:type="paragraph" w:styleId="961">
    <w:name w:val="toc 2"/>
    <w:basedOn w:val="971"/>
    <w:next w:val="971"/>
    <w:uiPriority w:val="39"/>
    <w:unhideWhenUsed/>
    <w:pPr>
      <w:ind w:left="283" w:right="0" w:firstLine="0"/>
      <w:spacing w:after="57"/>
    </w:pPr>
  </w:style>
  <w:style w:type="paragraph" w:styleId="962">
    <w:name w:val="toc 3"/>
    <w:basedOn w:val="971"/>
    <w:next w:val="971"/>
    <w:uiPriority w:val="39"/>
    <w:unhideWhenUsed/>
    <w:pPr>
      <w:ind w:left="567" w:right="0" w:firstLine="0"/>
      <w:spacing w:after="57"/>
    </w:pPr>
  </w:style>
  <w:style w:type="paragraph" w:styleId="963">
    <w:name w:val="toc 4"/>
    <w:basedOn w:val="971"/>
    <w:next w:val="971"/>
    <w:uiPriority w:val="39"/>
    <w:unhideWhenUsed/>
    <w:pPr>
      <w:ind w:left="850" w:right="0" w:firstLine="0"/>
      <w:spacing w:after="57"/>
    </w:pPr>
  </w:style>
  <w:style w:type="paragraph" w:styleId="964">
    <w:name w:val="toc 5"/>
    <w:basedOn w:val="971"/>
    <w:next w:val="971"/>
    <w:uiPriority w:val="39"/>
    <w:unhideWhenUsed/>
    <w:pPr>
      <w:ind w:left="1134" w:right="0" w:firstLine="0"/>
      <w:spacing w:after="57"/>
    </w:pPr>
  </w:style>
  <w:style w:type="paragraph" w:styleId="965">
    <w:name w:val="toc 6"/>
    <w:basedOn w:val="971"/>
    <w:next w:val="971"/>
    <w:uiPriority w:val="39"/>
    <w:unhideWhenUsed/>
    <w:pPr>
      <w:ind w:left="1417" w:right="0" w:firstLine="0"/>
      <w:spacing w:after="57"/>
    </w:pPr>
  </w:style>
  <w:style w:type="paragraph" w:styleId="966">
    <w:name w:val="toc 7"/>
    <w:basedOn w:val="971"/>
    <w:next w:val="971"/>
    <w:uiPriority w:val="39"/>
    <w:unhideWhenUsed/>
    <w:pPr>
      <w:ind w:left="1701" w:right="0" w:firstLine="0"/>
      <w:spacing w:after="57"/>
    </w:pPr>
  </w:style>
  <w:style w:type="paragraph" w:styleId="967">
    <w:name w:val="toc 8"/>
    <w:basedOn w:val="971"/>
    <w:next w:val="971"/>
    <w:uiPriority w:val="39"/>
    <w:unhideWhenUsed/>
    <w:pPr>
      <w:ind w:left="1984" w:right="0" w:firstLine="0"/>
      <w:spacing w:after="57"/>
    </w:pPr>
  </w:style>
  <w:style w:type="paragraph" w:styleId="968">
    <w:name w:val="toc 9"/>
    <w:basedOn w:val="971"/>
    <w:next w:val="971"/>
    <w:uiPriority w:val="39"/>
    <w:unhideWhenUsed/>
    <w:pPr>
      <w:ind w:left="2268" w:right="0" w:firstLine="0"/>
      <w:spacing w:after="57"/>
    </w:pPr>
  </w:style>
  <w:style w:type="paragraph" w:styleId="969">
    <w:name w:val="TOC Heading"/>
    <w:uiPriority w:val="39"/>
    <w:unhideWhenUsed/>
  </w:style>
  <w:style w:type="paragraph" w:styleId="970">
    <w:name w:val="table of figures"/>
    <w:basedOn w:val="971"/>
    <w:next w:val="971"/>
    <w:uiPriority w:val="99"/>
    <w:unhideWhenUsed/>
    <w:pPr>
      <w:spacing w:after="0" w:afterAutospacing="0"/>
    </w:pPr>
  </w:style>
  <w:style w:type="paragraph" w:styleId="971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972">
    <w:name w:val="Heading 1"/>
    <w:basedOn w:val="971"/>
    <w:next w:val="971"/>
    <w:link w:val="976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973" w:default="1">
    <w:name w:val="Default Paragraph Font"/>
    <w:uiPriority w:val="1"/>
    <w:semiHidden/>
    <w:unhideWhenUsed/>
  </w:style>
  <w:style w:type="table" w:styleId="97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5" w:default="1">
    <w:name w:val="No List"/>
    <w:uiPriority w:val="99"/>
    <w:semiHidden/>
    <w:unhideWhenUsed/>
  </w:style>
  <w:style w:type="character" w:styleId="976" w:customStyle="1">
    <w:name w:val="Заголовок 1 Знак"/>
    <w:basedOn w:val="973"/>
    <w:link w:val="972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977">
    <w:name w:val="Header"/>
    <w:basedOn w:val="971"/>
    <w:link w:val="978"/>
    <w:uiPriority w:val="99"/>
    <w:pPr>
      <w:tabs>
        <w:tab w:val="center" w:pos="4677" w:leader="none"/>
        <w:tab w:val="right" w:pos="9355" w:leader="none"/>
      </w:tabs>
    </w:pPr>
  </w:style>
  <w:style w:type="character" w:styleId="978" w:customStyle="1">
    <w:name w:val="Верхний колонтитул Знак"/>
    <w:basedOn w:val="973"/>
    <w:link w:val="977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979">
    <w:name w:val="Footer"/>
    <w:basedOn w:val="971"/>
    <w:link w:val="980"/>
    <w:pPr>
      <w:tabs>
        <w:tab w:val="center" w:pos="4677" w:leader="none"/>
        <w:tab w:val="right" w:pos="9355" w:leader="none"/>
      </w:tabs>
    </w:pPr>
  </w:style>
  <w:style w:type="character" w:styleId="980" w:customStyle="1">
    <w:name w:val="Нижний колонтитул Знак"/>
    <w:basedOn w:val="973"/>
    <w:link w:val="979"/>
    <w:rPr>
      <w:rFonts w:ascii="Calibri" w:hAnsi="Calibri" w:cs="Times New Roman" w:eastAsia="Times New Roman"/>
      <w:sz w:val="24"/>
      <w:szCs w:val="24"/>
      <w:lang w:eastAsia="ru-RU"/>
    </w:rPr>
  </w:style>
  <w:style w:type="paragraph" w:styleId="981">
    <w:name w:val="Balloon Text"/>
    <w:basedOn w:val="971"/>
    <w:link w:val="982"/>
    <w:uiPriority w:val="99"/>
    <w:semiHidden/>
    <w:unhideWhenUsed/>
    <w:rPr>
      <w:rFonts w:ascii="Tahoma" w:hAnsi="Tahoma" w:cs="Tahoma"/>
      <w:sz w:val="16"/>
      <w:szCs w:val="16"/>
    </w:rPr>
  </w:style>
  <w:style w:type="character" w:styleId="982" w:customStyle="1">
    <w:name w:val="Текст выноски Знак"/>
    <w:basedOn w:val="973"/>
    <w:link w:val="981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983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984">
    <w:name w:val="List Paragraph"/>
    <w:basedOn w:val="971"/>
    <w:qFormat/>
    <w:uiPriority w:val="34"/>
    <w:pPr>
      <w:contextualSpacing w:val="true"/>
      <w:ind w:left="720"/>
    </w:pPr>
  </w:style>
  <w:style w:type="character" w:styleId="985">
    <w:name w:val="Placeholder Text"/>
    <w:basedOn w:val="973"/>
    <w:uiPriority w:val="99"/>
    <w:semiHidden/>
    <w:rPr>
      <w:color w:val="808080"/>
    </w:rPr>
  </w:style>
  <w:style w:type="paragraph" w:styleId="986">
    <w:name w:val="endnote text"/>
    <w:basedOn w:val="971"/>
    <w:link w:val="987"/>
    <w:uiPriority w:val="99"/>
    <w:semiHidden/>
    <w:unhideWhenUsed/>
    <w:rPr>
      <w:sz w:val="20"/>
      <w:szCs w:val="20"/>
    </w:rPr>
  </w:style>
  <w:style w:type="character" w:styleId="987" w:customStyle="1">
    <w:name w:val="Текст концевой сноски Знак"/>
    <w:basedOn w:val="973"/>
    <w:link w:val="986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988">
    <w:name w:val="endnote reference"/>
    <w:basedOn w:val="973"/>
    <w:uiPriority w:val="99"/>
    <w:semiHidden/>
    <w:unhideWhenUsed/>
    <w:rPr>
      <w:vertAlign w:val="superscript"/>
    </w:rPr>
  </w:style>
  <w:style w:type="paragraph" w:styleId="989">
    <w:name w:val="footnote text"/>
    <w:basedOn w:val="971"/>
    <w:link w:val="990"/>
    <w:uiPriority w:val="99"/>
    <w:unhideWhenUsed/>
    <w:rPr>
      <w:sz w:val="20"/>
      <w:szCs w:val="20"/>
    </w:rPr>
  </w:style>
  <w:style w:type="character" w:styleId="990" w:customStyle="1">
    <w:name w:val="Текст сноски Знак"/>
    <w:basedOn w:val="973"/>
    <w:link w:val="989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991">
    <w:name w:val="footnote reference"/>
    <w:basedOn w:val="973"/>
    <w:uiPriority w:val="99"/>
    <w:semiHidden/>
    <w:unhideWhenUsed/>
    <w:rPr>
      <w:vertAlign w:val="superscript"/>
    </w:rPr>
  </w:style>
  <w:style w:type="table" w:styleId="992">
    <w:name w:val="Table Grid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93" w:customStyle="1">
    <w:name w:val="blk"/>
    <w:basedOn w:val="973"/>
  </w:style>
  <w:style w:type="character" w:styleId="994">
    <w:name w:val="Hyperlink"/>
    <w:basedOn w:val="973"/>
    <w:uiPriority w:val="99"/>
    <w:unhideWhenUsed/>
    <w:rPr>
      <w:color w:val="0000FF" w:themeColor="hyperlink"/>
      <w:u w:val="single"/>
    </w:rPr>
  </w:style>
  <w:style w:type="paragraph" w:styleId="995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customXml" Target="../customXml/item1.xml" /><Relationship Id="rId18" Type="http://schemas.openxmlformats.org/officeDocument/2006/relationships/customXml" Target="../customXml/item2.xml" /><Relationship Id="rId19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0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21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2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3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4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5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6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7" Type="http://schemas.openxmlformats.org/officeDocument/2006/relationships/hyperlink" Target="consultantplus://offline/ref=016AB77AEF6DEA8AC6B86BB253E21E8D9339EAFD400A854EAA5C55FDC8DC1A04416FD3E1DA42F9E4DCD6877882u906K" TargetMode="External"/><Relationship Id="rId28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9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30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31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32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33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34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35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6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96CC70FF-029A-4A21-88EB-808C9A12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35</cp:revision>
  <dcterms:created xsi:type="dcterms:W3CDTF">2023-02-13T09:19:00Z</dcterms:created>
  <dcterms:modified xsi:type="dcterms:W3CDTF">2023-02-17T05:01:07Z</dcterms:modified>
</cp:coreProperties>
</file>