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3119" w:type="dxa"/>
            <w:noWrap/>
            <w:textDirection w:val="lrTb"/>
            <w:vAlign w:val="center"/>
          </w:tcPr>
          <w:p>
            <w:pPr>
              <w:pStyle w:val="11"/>
              <w:rPr>
                <w:rFonts w:ascii="PT Astra Serif" w:hAnsi="PT Astra Serif" w:eastAsia="PT Astra Serif" w:cs="PT Astra Serif"/>
                <w:b w:val="0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t xml:space="preserve">01.09.2026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 w:val="true"/>
                  <w:calcOnExit w:val="false"/>
                  <w:textInput/>
                </w:ffData>
              </w:fldChar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textDirection w:val="lrTb"/>
            <w:vAlign w:val="center"/>
          </w:tcPr>
          <w:p>
            <w:pPr>
              <w:pStyle w:val="11"/>
              <w:jc w:val="right"/>
              <w:rPr>
                <w:rFonts w:ascii="PT Astra Serif" w:hAnsi="PT Astra Serif" w:eastAsia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textDirection w:val="lrTb"/>
            <w:vAlign w:val="center"/>
          </w:tcPr>
          <w:p>
            <w:pPr>
              <w:pStyle w:val="11"/>
              <w:jc w:val="right"/>
              <w:rPr>
                <w:rFonts w:ascii="PT Astra Serif" w:hAnsi="PT Astra Serif" w:eastAsia="PT Astra Serif" w:cs="PT Astra Serif"/>
                <w:b w:val="0"/>
                <w:sz w:val="26"/>
                <w:szCs w:val="26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 w:eastAsia="ru-RU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t xml:space="preserve">0088/01-07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 w:val="true"/>
                  <w:calcOnExit w:val="false"/>
                  <w:textInput/>
                </w:ffData>
              </w:fldChar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1"/>
          </w:p>
        </w:tc>
      </w:tr>
      <w:tr>
        <w:trPr>
          <w:trHeight w:val="364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gridSpan w:val="3"/>
            <w:noWrap/>
            <w:textDirection w:val="lrTb"/>
          </w:tcPr>
          <w:p>
            <w:pPr>
              <w:pStyle w:val="15"/>
              <w:jc w:val="center"/>
              <w:rPr>
                <w:rFonts w:ascii="PT Astra Serif" w:hAnsi="PT Astra Serif" w:eastAsia="PT Astra Serif" w:cs="PT Astra Serif"/>
                <w:spacing w:val="20"/>
                <w:sz w:val="48"/>
                <w:szCs w:val="26"/>
              </w:rPr>
            </w:pPr>
          </w:p>
        </w:tc>
      </w:tr>
      <w:tr>
        <w:trPr>
          <w:trHeight w:val="513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gridSpan w:val="3"/>
            <w:noWrap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федер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ального значения </w:t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Биржевой корпус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, Х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Х в.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(г. Томск,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л.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Ленин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)</w:t>
            </w:r>
          </w:p>
        </w:tc>
      </w:tr>
    </w:tbl>
    <w:p>
      <w:pPr>
        <w:contextualSpacing/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Style w:val="NoSpacing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В соответствии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со статьей 47.6 Федерального закона от 25.06.2002 № 73-ФЗ «Об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 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>
      <w:pPr>
        <w:pStyle w:val="NoSpacing"/>
        <w:jc w:val="both"/>
        <w:rPr>
          <w:rFonts w:ascii="PT Astra Serif" w:hAnsi="PT Astra Serif" w:eastAsia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ПРИКАЗЫВАЮ:</w:t>
      </w:r>
    </w:p>
    <w:p>
      <w:pPr>
        <w:pStyle w:val="NoSpacing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Style w:val="Strong"/>
          <w:rFonts w:ascii="PT Astra Serif" w:hAnsi="PT Astra Serif" w:eastAsia="PT Astra Serif" w:cs="PT Astra Serif"/>
          <w:b w:val="0"/>
        </w:rPr>
      </w:pP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Утвердить Охранное обязательство собственника или иного законного владельца объекта культурного наследия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федера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льного значения «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Биржевой корпус</w:t>
      </w:r>
      <w:r>
        <w:rPr>
          <w:rFonts w:ascii="PT Astra Serif" w:hAnsi="PT Astra Serif" w:eastAsia="PT Astra Serif" w:cs="PT Astra Serif"/>
          <w:szCs w:val="26"/>
        </w:rPr>
        <w:t xml:space="preserve">», </w:t>
      </w:r>
      <w:r>
        <w:rPr>
          <w:rFonts w:ascii="PT Astra Serif" w:hAnsi="PT Astra Serif" w:eastAsia="PT Astra Serif" w:cs="PT Astra Serif"/>
          <w:szCs w:val="26"/>
        </w:rPr>
        <w:t xml:space="preserve">Х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I</w:t>
      </w:r>
      <w:r>
        <w:rPr>
          <w:rFonts w:ascii="PT Astra Serif" w:hAnsi="PT Astra Serif" w:eastAsia="PT Astra Serif" w:cs="PT Astra Serif"/>
          <w:szCs w:val="26"/>
        </w:rPr>
        <w:t xml:space="preserve">Х в.</w:t>
      </w:r>
      <w:r>
        <w:rPr>
          <w:rFonts w:ascii="PT Astra Serif" w:hAnsi="PT Astra Serif" w:eastAsia="PT Astra Serif" w:cs="PT Astra Serif"/>
          <w:szCs w:val="26"/>
        </w:rPr>
        <w:t xml:space="preserve">,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расположенного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 по адресу: Томская область, г. 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Томск,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п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л.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 Ленин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а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,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2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,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согласно приложению к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 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настоящему приказу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.</w:t>
      </w:r>
      <w:bookmarkStart w:id="2" w:name="OLE_LINK12"/>
      <w:bookmarkStart w:id="3" w:name="OLE_LINK87"/>
      <w:bookmarkStart w:id="4" w:name="OLE_LINK88"/>
      <w:bookmarkStart w:id="5" w:name="OLE_LINK89"/>
      <w:bookmarkStart w:id="6" w:name="OLE_LINK90"/>
      <w:bookmarkStart w:id="7" w:name="OLE_LINK91"/>
      <w:bookmarkStart w:id="8" w:name="OLE_LINK92"/>
      <w:bookmarkStart w:id="9" w:name="OLE_LINK93"/>
      <w:bookmarkStart w:id="10" w:name="OLE_LINK94"/>
      <w:bookmarkStart w:id="11" w:name="OLE_LINK95"/>
      <w:bookmarkStart w:id="12" w:name="OLE_LINK96"/>
      <w:bookmarkStart w:id="13" w:name="OLE_LINK97"/>
      <w:bookmarkStart w:id="14" w:name="OLE_LINK98"/>
      <w:bookmarkStart w:id="15" w:name="OLE_LINK99"/>
      <w:bookmarkStart w:id="16" w:name="OLE_LINK100"/>
      <w:bookmarkStart w:id="17" w:name="OLE_LINK101"/>
      <w:bookmarkStart w:id="18" w:name="OLE_LINK102"/>
      <w:bookmarkStart w:id="19" w:name="OLE_LINK245"/>
      <w:bookmarkStart w:id="20" w:name="OLE_LINK246"/>
      <w:bookmarkStart w:id="21" w:name="OLE_LINK247"/>
      <w:bookmarkStart w:id="22" w:name="OLE_LINK248"/>
      <w:bookmarkStart w:id="23" w:name="OLE_LINK249"/>
      <w:bookmarkStart w:id="24" w:name="OLE_LINK250"/>
      <w:bookmarkStart w:id="25" w:name="OLE_LINK251"/>
      <w:bookmarkStart w:id="26" w:name="OLE_LINK252"/>
      <w:bookmarkStart w:id="27" w:name="OLE_LINK253"/>
      <w:bookmarkStart w:id="28" w:name="OLE_LINK254"/>
      <w:bookmarkStart w:id="29" w:name="OLE_LINK255"/>
      <w:bookmarkStart w:id="30" w:name="OLE_LINK256"/>
      <w:bookmarkStart w:id="31" w:name="OLE_LINK257"/>
      <w:bookmarkStart w:id="32" w:name="OLE_LINK258"/>
      <w:bookmarkStart w:id="33" w:name="OLE_LINK259"/>
      <w:bookmarkStart w:id="34" w:name="OLE_LINK260"/>
      <w:bookmarkStart w:id="35" w:name="OLE_LINK261"/>
      <w:bookmarkStart w:id="36" w:name="OLE_LINK262"/>
      <w:bookmarkStart w:id="37" w:name="OLE_LINK263"/>
      <w:bookmarkStart w:id="38" w:name="OLE_LINK264"/>
      <w:bookmarkStart w:id="39" w:name="OLE_LINK265"/>
      <w:bookmarkStart w:id="40" w:name="OLE_LINK266"/>
      <w:bookmarkStart w:id="41" w:name="OLE_LINK267"/>
      <w:bookmarkStart w:id="42" w:name="OLE_LINK268"/>
      <w:bookmarkStart w:id="43" w:name="OLE_LINK269"/>
      <w:bookmarkStart w:id="44" w:name="OLE_LINK270"/>
      <w:bookmarkStart w:id="45" w:name="OLE_LINK271"/>
      <w:bookmarkStart w:id="46" w:name="OLE_LINK272"/>
      <w:bookmarkStart w:id="47" w:name="OLE_LINK273"/>
      <w:bookmarkStart w:id="48" w:name="OLE_LINK274"/>
      <w:bookmarkStart w:id="49" w:name="OLE_LINK275"/>
      <w:bookmarkStart w:id="50" w:name="OLE_LINK276"/>
      <w:bookmarkStart w:id="51" w:name="OLE_LINK277"/>
      <w:bookmarkStart w:id="52" w:name="OLE_LINK278"/>
      <w:bookmarkStart w:id="53" w:name="OLE_LINK279"/>
      <w:bookmarkStart w:id="54" w:name="OLE_LINK280"/>
      <w:bookmarkStart w:id="55" w:name="OLE_LINK281"/>
      <w:bookmarkStart w:id="56" w:name="OLE_LINK282"/>
      <w:bookmarkStart w:id="57" w:name="OLE_LINK283"/>
      <w:bookmarkStart w:id="58" w:name="OLE_LINK284"/>
      <w:bookmarkStart w:id="59" w:name="OLE_LINK285"/>
      <w:bookmarkStart w:id="60" w:name="OLE_LINK286"/>
      <w:bookmarkStart w:id="61" w:name="OLE_LINK287"/>
      <w:bookmarkStart w:id="62" w:name="OLE_LINK288"/>
      <w:bookmarkStart w:id="63" w:name="OLE_LINK289"/>
      <w:bookmarkStart w:id="64" w:name="OLE_LINK290"/>
      <w:bookmarkStart w:id="65" w:name="OLE_LINK291"/>
      <w:bookmarkStart w:id="66" w:name="OLE_LINK292"/>
      <w:bookmarkStart w:id="67" w:name="OLE_LINK293"/>
      <w:bookmarkStart w:id="68" w:name="OLE_LINK294"/>
      <w:bookmarkStart w:id="69" w:name="OLE_LINK295"/>
      <w:bookmarkStart w:id="70" w:name="OLE_LINK296"/>
      <w:bookmarkStart w:id="71" w:name="OLE_LINK297"/>
      <w:bookmarkStart w:id="72" w:name="OLE_LINK298"/>
      <w:bookmarkStart w:id="73" w:name="OLE_LINK299"/>
      <w:bookmarkStart w:id="74" w:name="OLE_LINK300"/>
      <w:bookmarkStart w:id="75" w:name="OLE_LINK301"/>
      <w:bookmarkStart w:id="76" w:name="OLE_LINK302"/>
      <w:bookmarkStart w:id="77" w:name="OLE_LINK303"/>
      <w:bookmarkStart w:id="78" w:name="OLE_LINK304"/>
      <w:bookmarkStart w:id="79" w:name="OLE_LINK305"/>
      <w:bookmarkStart w:id="80" w:name="OLE_LINK306"/>
      <w:bookmarkStart w:id="81" w:name="OLE_LINK307"/>
      <w:bookmarkStart w:id="82" w:name="OLE_LINK308"/>
      <w:bookmarkStart w:id="83" w:name="OLE_LINK309"/>
      <w:bookmarkStart w:id="84" w:name="OLE_LINK310"/>
      <w:bookmarkStart w:id="85" w:name="OLE_LINK311"/>
      <w:bookmarkStart w:id="86" w:name="OLE_LINK312"/>
      <w:bookmarkStart w:id="87" w:name="OLE_LINK313"/>
      <w:bookmarkStart w:id="88" w:name="OLE_LINK314"/>
      <w:bookmarkStart w:id="89" w:name="OLE_LINK315"/>
      <w:bookmarkStart w:id="90" w:name="OLE_LINK316"/>
      <w:bookmarkStart w:id="91" w:name="OLE_LINK317"/>
      <w:bookmarkStart w:id="92" w:name="OLE_LINK318"/>
      <w:bookmarkStart w:id="93" w:name="OLE_LINK319"/>
      <w:bookmarkStart w:id="94" w:name="OLE_LINK320"/>
      <w:bookmarkStart w:id="95" w:name="OLE_LINK321"/>
      <w:bookmarkStart w:id="96" w:name="OLE_LINK322"/>
      <w:bookmarkStart w:id="97" w:name="OLE_LINK323"/>
      <w:bookmarkStart w:id="98" w:name="OLE_LINK324"/>
      <w:bookmarkStart w:id="99" w:name="OLE_LINK325"/>
      <w:bookmarkStart w:id="100" w:name="OLE_LINK326"/>
      <w:bookmarkStart w:id="101" w:name="OLE_LINK327"/>
      <w:bookmarkStart w:id="102" w:name="OLE_LINK328"/>
      <w:bookmarkStart w:id="103" w:name="OLE_LINK329"/>
      <w:bookmarkStart w:id="104" w:name="OLE_LINK330"/>
      <w:bookmarkStart w:id="105" w:name="OLE_LINK331"/>
      <w:bookmarkStart w:id="106" w:name="OLE_LINK332"/>
      <w:bookmarkStart w:id="107" w:name="OLE_LINK333"/>
      <w:bookmarkStart w:id="108" w:name="OLE_LINK334"/>
      <w:bookmarkStart w:id="109" w:name="OLE_LINK335"/>
      <w:bookmarkStart w:id="110" w:name="OLE_LINK336"/>
      <w:bookmarkStart w:id="111" w:name="OLE_LINK337"/>
      <w:bookmarkStart w:id="112" w:name="OLE_LINK338"/>
      <w:bookmarkStart w:id="113" w:name="OLE_LINK339"/>
      <w:bookmarkStart w:id="114" w:name="OLE_LINK340"/>
      <w:bookmarkStart w:id="115" w:name="OLE_LINK341"/>
      <w:bookmarkStart w:id="116" w:name="OLE_LINK342"/>
      <w:bookmarkStart w:id="117" w:name="OLE_LINK343"/>
      <w:bookmarkStart w:id="118" w:name="OLE_LINK344"/>
      <w:bookmarkStart w:id="119" w:name="OLE_LINK345"/>
      <w:bookmarkStart w:id="120" w:name="OLE_LINK346"/>
      <w:bookmarkStart w:id="121" w:name="OLE_LINK347"/>
      <w:bookmarkStart w:id="122" w:name="OLE_LINK348"/>
      <w:bookmarkStart w:id="123" w:name="OLE_LINK349"/>
      <w:bookmarkStart w:id="124" w:name="OLE_LINK350"/>
      <w:bookmarkStart w:id="125" w:name="OLE_LINK351"/>
      <w:bookmarkStart w:id="126" w:name="OLE_LINK352"/>
      <w:bookmarkStart w:id="127" w:name="OLE_LINK353"/>
      <w:bookmarkStart w:id="128" w:name="OLE_LINK354"/>
      <w:bookmarkStart w:id="129" w:name="OLE_LINK355"/>
      <w:bookmarkStart w:id="130" w:name="OLE_LINK356"/>
      <w:bookmarkStart w:id="131" w:name="OLE_LINK357"/>
      <w:bookmarkStart w:id="132" w:name="OLE_LINK358"/>
      <w:bookmarkStart w:id="133" w:name="OLE_LINK359"/>
      <w:bookmarkStart w:id="134" w:name="OLE_LINK360"/>
      <w:bookmarkStart w:id="135" w:name="OLE_LINK361"/>
      <w:bookmarkStart w:id="136" w:name="OLE_LINK362"/>
      <w:bookmarkStart w:id="137" w:name="OLE_LINK363"/>
      <w:bookmarkStart w:id="138" w:name="OLE_LINK364"/>
      <w:bookmarkStart w:id="139" w:name="OLE_LINK365"/>
      <w:bookmarkStart w:id="140" w:name="OLE_LINK366"/>
      <w:bookmarkStart w:id="141" w:name="OLE_LINK367"/>
      <w:bookmarkStart w:id="142" w:name="OLE_LINK368"/>
      <w:bookmarkStart w:id="143" w:name="OLE_LINK369"/>
      <w:bookmarkStart w:id="144" w:name="OLE_LINK370"/>
      <w:bookmarkStart w:id="145" w:name="OLE_LINK371"/>
      <w:bookmarkStart w:id="146" w:name="OLE_LINK372"/>
      <w:bookmarkStart w:id="147" w:name="OLE_LINK373"/>
      <w:bookmarkStart w:id="148" w:name="OLE_LINK374"/>
      <w:bookmarkStart w:id="149" w:name="OLE_LINK375"/>
      <w:bookmarkStart w:id="150" w:name="OLE_LINK376"/>
      <w:bookmarkStart w:id="151" w:name="OLE_LINK377"/>
      <w:bookmarkStart w:id="152" w:name="OLE_LINK378"/>
      <w:bookmarkStart w:id="153" w:name="OLE_LINK379"/>
      <w:bookmarkStart w:id="154" w:name="OLE_LINK380"/>
      <w:bookmarkStart w:id="155" w:name="OLE_LINK381"/>
      <w:bookmarkStart w:id="156" w:name="OLE_LINK382"/>
      <w:bookmarkStart w:id="157" w:name="OLE_LINK383"/>
      <w:bookmarkStart w:id="158" w:name="OLE_LINK384"/>
      <w:bookmarkStart w:id="159" w:name="OLE_LINK385"/>
      <w:bookmarkStart w:id="160" w:name="OLE_LINK386"/>
      <w:bookmarkStart w:id="161" w:name="OLE_LINK387"/>
      <w:bookmarkStart w:id="162" w:name="OLE_LINK388"/>
      <w:bookmarkStart w:id="163" w:name="OLE_LINK389"/>
      <w:bookmarkStart w:id="164" w:name="OLE_LINK390"/>
      <w:bookmarkStart w:id="165" w:name="OLE_LINK391"/>
      <w:bookmarkStart w:id="166" w:name="OLE_LINK392"/>
      <w:bookmarkStart w:id="167" w:name="OLE_LINK393"/>
      <w:bookmarkStart w:id="168" w:name="OLE_LINK394"/>
      <w:bookmarkStart w:id="169" w:name="OLE_LINK395"/>
      <w:bookmarkStart w:id="170" w:name="OLE_LINK396"/>
      <w:bookmarkStart w:id="171" w:name="OLE_LINK397"/>
      <w:bookmarkStart w:id="172" w:name="OLE_LINK398"/>
      <w:bookmarkStart w:id="173" w:name="OLE_LINK399"/>
      <w:bookmarkStart w:id="174" w:name="OLE_LINK400"/>
      <w:bookmarkStart w:id="175" w:name="OLE_LINK401"/>
      <w:bookmarkStart w:id="176" w:name="OLE_LINK402"/>
      <w:bookmarkStart w:id="177" w:name="OLE_LINK403"/>
      <w:bookmarkStart w:id="178" w:name="OLE_LINK404"/>
      <w:bookmarkStart w:id="179" w:name="OLE_LINK405"/>
      <w:bookmarkStart w:id="180" w:name="OLE_LINK406"/>
      <w:bookmarkStart w:id="181" w:name="OLE_LINK407"/>
      <w:bookmarkStart w:id="182" w:name="OLE_LINK408"/>
      <w:bookmarkStart w:id="183" w:name="OLE_LINK409"/>
      <w:bookmarkStart w:id="184" w:name="OLE_LINK410"/>
      <w:bookmarkStart w:id="185" w:name="OLE_LINK411"/>
      <w:bookmarkStart w:id="186" w:name="OLE_LINK412"/>
      <w:bookmarkStart w:id="187" w:name="OLE_LINK413"/>
      <w:bookmarkStart w:id="188" w:name="OLE_LINK414"/>
      <w:bookmarkStart w:id="189" w:name="OLE_LINK415"/>
      <w:bookmarkStart w:id="190" w:name="OLE_LINK416"/>
      <w:bookmarkStart w:id="191" w:name="OLE_LINK417"/>
      <w:bookmarkStart w:id="192" w:name="OLE_LINK418"/>
      <w:bookmarkStart w:id="193" w:name="OLE_LINK419"/>
      <w:bookmarkStart w:id="194" w:name="OLE_LINK420"/>
      <w:bookmarkStart w:id="195" w:name="OLE_LINK421"/>
      <w:bookmarkStart w:id="196" w:name="OLE_LINK422"/>
      <w:bookmarkStart w:id="197" w:name="OLE_LINK423"/>
      <w:bookmarkStart w:id="198" w:name="OLE_LINK424"/>
      <w:bookmarkStart w:id="199" w:name="OLE_LINK425"/>
      <w:bookmarkStart w:id="200" w:name="OLE_LINK426"/>
      <w:bookmarkStart w:id="201" w:name="OLE_LINK427"/>
      <w:bookmarkStart w:id="202" w:name="OLE_LINK428"/>
      <w:bookmarkStart w:id="203" w:name="OLE_LINK429"/>
      <w:bookmarkStart w:id="204" w:name="OLE_LINK430"/>
      <w:bookmarkStart w:id="205" w:name="OLE_LINK431"/>
      <w:bookmarkStart w:id="206" w:name="OLE_LINK432"/>
      <w:bookmarkStart w:id="207" w:name="OLE_LINK433"/>
      <w:bookmarkStart w:id="208" w:name="OLE_LINK434"/>
      <w:bookmarkStart w:id="209" w:name="OLE_LINK435"/>
      <w:bookmarkStart w:id="210" w:name="OLE_LINK436"/>
      <w:bookmarkStart w:id="211" w:name="OLE_LINK437"/>
      <w:bookmarkStart w:id="212" w:name="OLE_LINK438"/>
      <w:bookmarkStart w:id="213" w:name="OLE_LINK439"/>
      <w:bookmarkStart w:id="214" w:name="OLE_LINK440"/>
      <w:bookmarkStart w:id="215" w:name="OLE_LINK441"/>
      <w:bookmarkStart w:id="216" w:name="OLE_LINK442"/>
      <w:bookmarkStart w:id="217" w:name="OLE_LINK443"/>
      <w:bookmarkStart w:id="218" w:name="OLE_LINK444"/>
      <w:bookmarkStart w:id="219" w:name="OLE_LINK445"/>
      <w:bookmarkStart w:id="220" w:name="OLE_LINK14"/>
      <w:bookmarkStart w:id="221" w:name="OLE_LINK15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>
      <w:pPr>
        <w:pStyle w:val="NoSpacing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Style w:val="Strong"/>
          <w:rFonts w:ascii="PT Astra Serif" w:hAnsi="PT Astra Serif" w:eastAsia="PT Astra Serif" w:cs="PT Astra Serif"/>
          <w:b w:val="0"/>
        </w:rPr>
      </w:pPr>
      <w:r>
        <w:rPr>
          <w:rStyle w:val="Strong"/>
          <w:rFonts w:ascii="PT Astra Serif" w:hAnsi="PT Astra Serif" w:eastAsia="PT Astra Serif" w:cs="PT Astra Serif"/>
          <w:b w:val="0"/>
        </w:rPr>
        <w:t xml:space="preserve"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>
        <w:rPr>
          <w:rStyle w:val="Strong"/>
          <w:rFonts w:ascii="PT Astra Serif" w:hAnsi="PT Astra Serif" w:eastAsia="PT Astra Serif" w:cs="PT Astra Serif"/>
          <w:b w:val="0"/>
        </w:rPr>
        <w:t xml:space="preserve"> </w:t>
      </w:r>
      <w:r>
        <w:rPr>
          <w:rStyle w:val="Strong"/>
          <w:rFonts w:ascii="PT Astra Serif" w:hAnsi="PT Astra Serif" w:eastAsia="PT Astra Serif" w:cs="PT Astra Serif"/>
          <w:b w:val="0"/>
        </w:rPr>
        <w:t xml:space="preserve">дня утверждения</w:t>
      </w:r>
      <w:r>
        <w:rPr>
          <w:rStyle w:val="Strong"/>
          <w:rFonts w:ascii="PT Astra Serif" w:hAnsi="PT Astra Serif" w:eastAsia="PT Astra Serif" w:cs="PT Astra Serif"/>
          <w:b w:val="0"/>
        </w:rPr>
        <w:t xml:space="preserve">.</w:t>
      </w:r>
    </w:p>
    <w:p>
      <w:pPr>
        <w:pStyle w:val="NoSpacing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Style w:val="Strong"/>
          <w:rFonts w:ascii="PT Astra Serif" w:hAnsi="PT Astra Serif" w:eastAsia="PT Astra Serif" w:cs="PT Astra Serif"/>
          <w:b w:val="0"/>
          <w:szCs w:val="26"/>
        </w:rPr>
      </w:pPr>
      <w:r>
        <w:rPr>
          <w:rStyle w:val="Strong"/>
          <w:rFonts w:ascii="PT Astra Serif" w:hAnsi="PT Astra Serif" w:eastAsia="PT Astra Serif" w:cs="PT Astra Serif"/>
          <w:b w:val="0"/>
        </w:rPr>
        <w:t xml:space="preserve">Признать </w:t>
      </w:r>
      <w:r>
        <w:rPr>
          <w:rFonts w:ascii="PT Astra Serif" w:hAnsi="PT Astra Serif" w:eastAsia="PT Astra Serif" w:cs="PT Astra Serif"/>
          <w:szCs w:val="26"/>
        </w:rPr>
        <w:t xml:space="preserve">утратившим силу приказ Комитета по охране объектов культурного наследия Томской области от </w:t>
      </w:r>
      <w:r>
        <w:rPr>
          <w:rFonts w:ascii="PT Astra Serif" w:hAnsi="PT Astra Serif" w:eastAsia="PT Astra Serif" w:cs="PT Astra Serif"/>
          <w:szCs w:val="26"/>
        </w:rPr>
        <w:t xml:space="preserve">20</w:t>
      </w:r>
      <w:r>
        <w:rPr>
          <w:rFonts w:ascii="PT Astra Serif" w:hAnsi="PT Astra Serif" w:eastAsia="PT Astra Serif" w:cs="PT Astra Serif"/>
          <w:szCs w:val="26"/>
        </w:rPr>
        <w:t xml:space="preserve">.0</w:t>
      </w:r>
      <w:r>
        <w:rPr>
          <w:rFonts w:ascii="PT Astra Serif" w:hAnsi="PT Astra Serif" w:eastAsia="PT Astra Serif" w:cs="PT Astra Serif"/>
          <w:szCs w:val="26"/>
        </w:rPr>
        <w:t xml:space="preserve">1</w:t>
      </w:r>
      <w:r>
        <w:rPr>
          <w:rFonts w:ascii="PT Astra Serif" w:hAnsi="PT Astra Serif" w:eastAsia="PT Astra Serif" w:cs="PT Astra Serif"/>
          <w:szCs w:val="26"/>
        </w:rPr>
        <w:t xml:space="preserve">.20</w:t>
      </w:r>
      <w:r>
        <w:rPr>
          <w:rFonts w:ascii="PT Astra Serif" w:hAnsi="PT Astra Serif" w:eastAsia="PT Astra Serif" w:cs="PT Astra Serif"/>
          <w:szCs w:val="26"/>
        </w:rPr>
        <w:t xml:space="preserve">22</w:t>
      </w:r>
      <w:r>
        <w:rPr>
          <w:rFonts w:ascii="PT Astra Serif" w:hAnsi="PT Astra Serif" w:eastAsia="PT Astra Serif" w:cs="PT Astra Serif"/>
          <w:szCs w:val="26"/>
        </w:rPr>
        <w:t xml:space="preserve"> № </w:t>
      </w:r>
      <w:r>
        <w:rPr>
          <w:rFonts w:ascii="PT Astra Serif" w:hAnsi="PT Astra Serif" w:eastAsia="PT Astra Serif" w:cs="PT Astra Serif"/>
          <w:szCs w:val="26"/>
        </w:rPr>
        <w:t xml:space="preserve">0006</w:t>
      </w:r>
      <w:r>
        <w:rPr>
          <w:rFonts w:ascii="PT Astra Serif" w:hAnsi="PT Astra Serif" w:eastAsia="PT Astra Serif" w:cs="PT Astra Serif"/>
          <w:szCs w:val="26"/>
        </w:rPr>
        <w:t xml:space="preserve">/01-07 «Об утверждении охранного обязательства собственника или иного законного владельца объекта культурного наследия </w:t>
      </w:r>
      <w:r>
        <w:rPr>
          <w:rFonts w:ascii="PT Astra Serif" w:hAnsi="PT Astra Serif" w:eastAsia="PT Astra Serif" w:cs="PT Astra Serif"/>
          <w:szCs w:val="26"/>
        </w:rPr>
        <w:t xml:space="preserve">федер</w:t>
      </w:r>
      <w:r>
        <w:rPr>
          <w:rFonts w:ascii="PT Astra Serif" w:hAnsi="PT Astra Serif" w:eastAsia="PT Astra Serif" w:cs="PT Astra Serif"/>
          <w:szCs w:val="26"/>
        </w:rPr>
        <w:t xml:space="preserve">ального значения «</w:t>
      </w:r>
      <w:r>
        <w:rPr>
          <w:rFonts w:ascii="PT Astra Serif" w:hAnsi="PT Astra Serif" w:eastAsia="PT Astra Serif" w:cs="PT Astra Serif"/>
          <w:szCs w:val="26"/>
        </w:rPr>
        <w:t xml:space="preserve">Биржевой корпус</w:t>
      </w:r>
      <w:r>
        <w:rPr>
          <w:rFonts w:ascii="PT Astra Serif" w:hAnsi="PT Astra Serif" w:eastAsia="PT Astra Serif" w:cs="PT Astra Serif"/>
          <w:szCs w:val="26"/>
        </w:rPr>
        <w:t xml:space="preserve">», ХIХ в.» (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Официальный интернет-портал правовой информации http:www.pravo.gov.ru,  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21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.0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1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.202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2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, № 7001202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2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0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121</w:t>
      </w:r>
      <w:r>
        <w:rPr>
          <w:rFonts w:ascii="PT Astra Serif" w:hAnsi="PT Astra Serif" w:eastAsia="PT Astra Serif" w:cs="PT Astra Serif"/>
          <w:szCs w:val="26"/>
          <w:highlight w:val="white"/>
        </w:rPr>
        <w:t xml:space="preserve">0001</w:t>
      </w:r>
      <w:r>
        <w:rPr>
          <w:rFonts w:ascii="PT Astra Serif" w:hAnsi="PT Astra Serif" w:eastAsia="PT Astra Serif" w:cs="PT Astra Serif"/>
          <w:szCs w:val="26"/>
        </w:rPr>
        <w:t xml:space="preserve">).</w:t>
      </w:r>
    </w:p>
    <w:p>
      <w:pPr>
        <w:pStyle w:val="NoSpacing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Style w:val="Strong"/>
          <w:rFonts w:ascii="PT Astra Serif" w:hAnsi="PT Astra Serif" w:eastAsia="PT Astra Serif" w:cs="PT Astra Serif"/>
          <w:b w:val="0"/>
        </w:rPr>
      </w:pPr>
      <w:r>
        <w:rPr>
          <w:rStyle w:val="Strong"/>
          <w:rFonts w:ascii="PT Astra Serif" w:hAnsi="PT Astra Serif" w:eastAsia="PT Astra Serif" w:cs="PT Astra Serif"/>
          <w:b w:val="0"/>
        </w:rPr>
        <w:t xml:space="preserve">Контроль за исполнением настоящего приказа оставляю за собой.</w:t>
      </w:r>
    </w:p>
    <w:p>
      <w:pPr>
        <w:tabs>
          <w:tab w:val="left" w:pos="7088"/>
        </w:tabs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tabs>
          <w:tab w:val="left" w:pos="7088"/>
        </w:tabs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tabs>
          <w:tab w:val="left" w:pos="7088"/>
        </w:tabs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3189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Председатель Комитета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>
                <w:ffData>
                  <w:name w:val=""/>
                  <w:enabled w:val="true"/>
                  <w:calcOnExit w:val="false"/>
                  <w:textInput/>
                </w:ffData>
              </w:fldChar>
            </w:r>
            <w:bookmarkStart w:id="222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22"/>
          </w:p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Е.В. Перетягина</w:t>
            </w:r>
          </w:p>
        </w:tc>
      </w:tr>
    </w:tbl>
    <w:p>
      <w:pPr>
        <w:rPr>
          <w:rFonts w:ascii="PT Astra Serif" w:hAnsi="PT Astra Serif"/>
          <w:lang w:val="en-US"/>
        </w:rPr>
      </w:pPr>
      <w:r>
        <w:rPr>
          <w:rFonts w:ascii="PT Astra Serif" w:hAnsi="PT Astra Serif"/>
          <w:lang w:val="en-US"/>
        </w:rPr>
        <w:br w:type="page" w:clear="all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</w:p>
    <w:p>
      <w:pPr>
        <w:tabs>
          <w:tab w:val="left" w:pos="7088"/>
        </w:tabs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Комитета по охране объектов культурного наследия 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01.09.2026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0088/01-07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rPr>
          <w:rFonts w:ascii="PT Astra Serif" w:hAnsi="PT Astra Serif"/>
          <w:sz w:val="24"/>
          <w:szCs w:val="24"/>
        </w:rPr>
      </w:pPr>
    </w:p>
    <w:p>
      <w:pPr>
        <w:widowControl w:val="off"/>
        <w:jc w:val="center"/>
        <w:rPr>
          <w:rFonts w:ascii="PT Astra Serif" w:hAnsi="PT Astra Serif" w:eastAsia="PT Astra Serif" w:cs="PT Astra Serif"/>
          <w:bCs/>
          <w:spacing w:val="-3"/>
          <w:sz w:val="24"/>
          <w:szCs w:val="24"/>
        </w:rPr>
      </w:pP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t xml:space="preserve">ОХРАННОЕ ОБЯЗАТЕЛЬСТВО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СОБСТВЕННИКА ИЛИ ИНОГО ЗАКОННОГО ВЛАДЕЛЬЦА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ОБЪЕКТА КУЛЬТУРНОГО НАСЛЕДИЯ,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объектов культурного наследия (памятников истории и культуры)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>
      <w:pPr>
        <w:widowControl w:val="off"/>
        <w:rPr>
          <w:rFonts w:ascii="PT Astra Serif" w:hAnsi="PT Astra Serif" w:eastAsia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391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eastAsia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rFonts w:ascii="PT Astra Serif" w:hAnsi="PT Astra Serif" w:eastAsia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 xml:space="preserve">«</w:t>
            </w:r>
          </w:p>
        </w:tc>
        <w:tc>
          <w:tcPr>
            <w:tcW w:w="8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hAnsi="PT Astra Serif" w:eastAsia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/>
                <w:sz w:val="26"/>
                <w:szCs w:val="26"/>
              </w:rPr>
              <w:t xml:space="preserve">Биржевой корпус</w:t>
            </w:r>
          </w:p>
        </w:tc>
        <w:tc>
          <w:tcPr>
            <w:tcW w:w="393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eastAsia="PT Astra Serif" w:cs="PT Astra Serif"/>
                <w:b/>
                <w:color w:val="000000"/>
                <w:spacing w:val="-2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 xml:space="preserve">»</w:t>
            </w:r>
          </w:p>
        </w:tc>
      </w:tr>
    </w:tbl>
    <w:p>
      <w:pPr>
        <w:widowControl w:val="off"/>
        <w:spacing w:line="240" w:lineRule="exact"/>
        <w:jc w:val="center"/>
        <w:rPr>
          <w:rFonts w:ascii="PT Astra Serif" w:hAnsi="PT Astra Serif" w:eastAsia="PT Astra Serif" w:cs="PT Astra Serif"/>
          <w:iCs/>
          <w:color w:val="000000"/>
          <w:spacing w:val="-4"/>
          <w:sz w:val="20"/>
          <w:szCs w:val="20"/>
        </w:rPr>
      </w:pPr>
      <w:r>
        <w:rPr>
          <w:rFonts w:ascii="PT Astra Serif" w:hAnsi="PT Astra Serif" w:eastAsia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</w:t>
      </w:r>
      <w:r>
        <w:rPr>
          <w:rFonts w:ascii="PT Astra Serif" w:hAnsi="PT Astra Serif" w:eastAsia="PT Astra Serif" w:cs="PT Astra Serif"/>
          <w:iCs/>
          <w:color w:val="000000"/>
          <w:spacing w:val="-4"/>
          <w:sz w:val="20"/>
          <w:szCs w:val="20"/>
          <w:lang w:bidi="ru-RU"/>
        </w:rPr>
        <w:t xml:space="preserve">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(памятников истории и</w:t>
      </w:r>
      <w:r>
        <w:rPr>
          <w:rFonts w:ascii="PT Astra Serif" w:hAnsi="PT Astra Serif" w:eastAsia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>
      <w:pPr>
        <w:widowControl w:val="off"/>
        <w:rPr>
          <w:rFonts w:ascii="PT Astra Serif" w:hAnsi="PT Astra Serif" w:eastAsia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jc w:val="center"/>
          <w:trHeight w:val="375"/>
        </w:trPr>
        <w:tblPrEx>
          <w:tblW w:w="8510" w:type="dxa"/>
          <w:jc w:val="center"/>
          <w:tblLayout w:type="fixed"/>
          <w:tblLook w:val="04A0" w:firstRow="1" w:lastRow="0" w:firstColumn="1" w:lastColumn="0" w:noHBand="0" w:noVBand="1"/>
        </w:tblPrEx>
        <w:tc>
          <w:tcPr>
            <w:tcW w:w="56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tabs>
                <w:tab w:val="center" w:pos="175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</w:t>
            </w:r>
          </w:p>
        </w:tc>
        <w:tc>
          <w:tcPr>
            <w:tcW w:w="56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73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</w:t>
            </w: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eastAsia="PT Astra Serif" w:cs="PT Astra Serif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eastAsia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eastAsia="PT Astra Serif" w:cs="PT Astra Serif"/>
          <w:color w:val="000000"/>
          <w:sz w:val="20"/>
          <w:szCs w:val="26"/>
          <w:lang w:bidi="ru-RU"/>
        </w:rPr>
        <w:t xml:space="preserve">)</w:t>
      </w:r>
    </w:p>
    <w:p>
      <w:pPr>
        <w:widowControl w:val="off"/>
        <w:jc w:val="center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</w:rPr>
      </w:pPr>
    </w:p>
    <w:p>
      <w:pPr>
        <w:widowControl w:val="off"/>
        <w:ind w:firstLine="700"/>
        <w:jc w:val="both"/>
        <w:rPr>
          <w:rFonts w:ascii="PT Astra Serif" w:hAnsi="PT Astra Serif" w:eastAsia="PT Astra Serif" w:cs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vertAlign w:val="superscript"/>
          <w:lang w:bidi="ru-RU"/>
        </w:rPr>
        <w:footnoteReference w:id="2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:</w:t>
      </w:r>
    </w:p>
    <w:p>
      <w:pPr>
        <w:widowControl w:val="off"/>
        <w:ind w:firstLine="70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blPrEx>
          <w:tblW w:w="9356" w:type="dxa"/>
          <w:tblInd w:w="108" w:type="dxa"/>
          <w:tblLook w:val="04A0" w:firstRow="1" w:lastRow="0" w:firstColumn="1" w:lastColumn="0" w:noHBand="0" w:noVBand="1"/>
        </w:tblPrEx>
        <w:tc>
          <w:tcPr>
            <w:tcW w:w="3828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имеется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  <w:lang w:val="en-US" w:bidi="ru-RU"/>
              </w:rPr>
              <w:t xml:space="preserve">V</w:t>
            </w:r>
          </w:p>
        </w:tc>
        <w:tc>
          <w:tcPr>
            <w:tcW w:w="1702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отсутствует</w:t>
            </w: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color w:val="000000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(нужное отметить знаком «V»)</w:t>
      </w:r>
    </w:p>
    <w:p>
      <w:pPr>
        <w:widowControl w:val="off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</w:p>
    <w:p>
      <w:pPr>
        <w:widowControl w:val="off"/>
        <w:ind w:firstLine="708"/>
        <w:jc w:val="both"/>
        <w:rPr>
          <w:rFonts w:ascii="PT Astra Serif" w:hAnsi="PT Astra Serif" w:eastAsia="PT Astra Serif" w:cs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обязательство вносятся:</w:t>
      </w:r>
    </w:p>
    <w:p>
      <w:pPr>
        <w:widowControl w:val="off"/>
        <w:ind w:firstLine="708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</w:p>
    <w:p>
      <w:pPr>
        <w:widowControl w:val="off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культурного наследия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наименовании объекта культурного наследия:</w:t>
      </w:r>
    </w:p>
    <w:p>
      <w:pPr>
        <w:widowControl w:val="off"/>
        <w:tabs>
          <w:tab w:val="left" w:pos="1074"/>
        </w:tabs>
        <w:ind w:left="1069"/>
        <w:jc w:val="both"/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событий:</w:t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  <w:br w:type="page" w:clear="all"/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категории историко-культурного значения объекта культурного наследия: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103"/>
        </w:tabs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>
        <w:trPr>
          <w:trHeight w:val="427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216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федерального значения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регионального значения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муниципального значения</w:t>
            </w: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color w:val="000000"/>
          <w:sz w:val="20"/>
          <w:lang w:bidi="ru-RU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(нужное отметить знаком «V»)</w:t>
      </w:r>
    </w:p>
    <w:p>
      <w:pPr>
        <w:widowControl w:val="off"/>
        <w:jc w:val="center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1.4.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виде объекта культурного наследия:</w:t>
      </w:r>
    </w:p>
    <w:p>
      <w:pPr>
        <w:widowControl w:val="off"/>
        <w:tabs>
          <w:tab w:val="left" w:pos="1103"/>
        </w:tabs>
        <w:jc w:val="both"/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>
        <w:trPr>
          <w:trHeight w:val="371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1984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памятник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ансамбль</w:t>
            </w: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color w:val="000000"/>
          <w:sz w:val="20"/>
          <w:lang w:bidi="ru-RU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(нужное отметить знаком «V»)</w:t>
      </w:r>
    </w:p>
    <w:p>
      <w:pPr>
        <w:widowControl w:val="off"/>
        <w:tabs>
          <w:tab w:val="left" w:pos="1074"/>
        </w:tabs>
        <w:ind w:firstLine="425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425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1.5.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1.6.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описание местоположения объекта):</w:t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color w:val="000000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(субъект Российской Федерации)</w:t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jc w:val="center"/>
        <w:rPr>
          <w:rFonts w:ascii="PT Astra Serif" w:hAnsi="PT Astra Serif" w:eastAsia="PT Astra Serif" w:cs="PT Astra Serif"/>
          <w:color w:val="000000"/>
          <w:sz w:val="20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0"/>
          <w:lang w:bidi="ru-RU"/>
        </w:rPr>
        <w:t xml:space="preserve">(населенный пункт)</w:t>
      </w:r>
    </w:p>
    <w:p>
      <w:pPr>
        <w:jc w:val="center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435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675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ул.</w:t>
            </w:r>
          </w:p>
        </w:tc>
        <w:tc>
          <w:tcPr>
            <w:tcW w:w="3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д.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корп. и (или) стр.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>
        <w:trPr>
          <w:cantSplit/>
          <w:trHeight w:val="354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360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кадастровый номер (при наличии):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>
        <w:tblPrEx>
          <w:tblW w:w="0" w:type="auto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ind w:right="-1"/>
        <w:jc w:val="center"/>
        <w:rPr>
          <w:rFonts w:ascii="PT Astra Serif" w:hAnsi="PT Astra Serif" w:eastAsia="PT Astra Serif" w:cs="PT Astra Serif"/>
          <w:color w:val="000000"/>
          <w:sz w:val="20"/>
          <w:lang w:bidi="ru-RU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(описание местоположения)</w:t>
      </w:r>
    </w:p>
    <w:p>
      <w:pPr>
        <w:widowControl w:val="off"/>
        <w:ind w:right="-1"/>
        <w:jc w:val="center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1.7.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границах территории объекта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1.8.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Описание предмета охраны объекта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1.9.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Фотографическое (иное графическое) изображение объекта культурного наследи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1.10.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наличии зон охран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 w:clear="all"/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Style w:val="TableGrid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blPrEx>
          <w:tblW w:w="0" w:type="auto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№</w:t>
            </w:r>
          </w:p>
        </w:tc>
        <w:tc>
          <w:tcPr>
            <w:tcW w:w="1842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наследия</w:t>
            </w:r>
          </w:p>
        </w:tc>
        <w:tc>
          <w:tcPr>
            <w:tcW w:w="1984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Адрес объекта или местоположение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Границы территории объекта культурного наследия</w:t>
            </w:r>
          </w:p>
        </w:tc>
        <w:tc>
          <w:tcPr>
            <w:tcW w:w="1559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Предмет охраны объекта культурного наследия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Зоны охраны объекта культурного наследия</w:t>
            </w:r>
          </w:p>
        </w:tc>
      </w:tr>
      <w:tr>
        <w:tblPrEx>
          <w:tblW w:w="0" w:type="auto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567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Иные сведения, предусмотренные Законом № 73-ФЗ: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left="360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Раздел 2. Требования к сохранению объекта культурного наследия</w:t>
      </w:r>
    </w:p>
    <w:p>
      <w:pPr>
        <w:widowControl w:val="off"/>
        <w:tabs>
          <w:tab w:val="left" w:pos="1074"/>
        </w:tabs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2.1.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соответствии с пунктом 1 статьи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2.2.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2.3.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ind w:left="20"/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культурного наследия</w:t>
      </w:r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соответствии с пунктом 1 статьи 47.3 Закона № 73-ФЗ при содержании и использовании объекта культурного наследия, включенного в реестр, выявленно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 (далее – лица, ответственные за содержание объектов культурного наследия)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, обязаны: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1) 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ru-RU"/>
        </w:rPr>
        <w:t xml:space="preserve">существля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3) не проводить работ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ы, изменяющие облик, объемно-планировочные и 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>
      <w:pPr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3.1) 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выполнять не затрагивающие предмета охраны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объекта культурного наследия, включенного в реестр, либо не изменяющие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ого объекта культурного наследия работы по капитальному ремонту общего имущества в многоквартирном доме, являющемся объектом культурного наследия, включенным в реестр, или выявленным объектом культурного наследия, с соблюдением требований, предусмотренных </w:t>
      </w:r>
      <w:hyperlink r:id="rId13" w:tooltip="https://login.consultant.ru/link/?req=doc&amp;base=LAW&amp;n=512852&amp;dst=793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 xml:space="preserve">статьей 56.1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4) обеспечивать сохранность и неизменность облика выявленного объекта культурного наследия;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5) соблюдать установленные статьей 5.1 Закона № 73-ФЗ требования к осуществлению деятельности в границах территории объекта культурного наследия, включенного в реестр,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выявленного объекта культурного наследия,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особый режим использования земельного участка, водного объекта или его части, в границах которых располагается объект археологического наследия;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6) не использовать объект культурного наследия (за исключением оборудованных с учетом требований противопожарной безопас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ности объектов культурного наследия, предназначенных либо предназначавшихся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- 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- под объекты производства, имеющие оборудование, оказывающее динамическое и вибрационное воздействие на конструкции объекта культурного наследия, независимо от мощности данного оборудования;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льствах, причинивших вред объекту культурного 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дия, или угрожающих причинением такого вреда, и безотлагательно принимать меры по 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>
      <w:pPr>
        <w:widowControl w:val="off"/>
        <w:ind w:right="-1"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8) не допускать ухудшения состояния территории объекта культурного наследия, включенного в реестр,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 выявленного объекта культурного наследия,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поддерживать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территорию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соответствующих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объект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ов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 культурного наследия в благоустроенном состоянии.</w:t>
      </w:r>
    </w:p>
    <w:p>
      <w:pPr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соответствии с пунктом 2 статьи 47.3 Закона № 73-ФЗ собственник 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жилого и (или) нежилого помещения, расположенного в многоквартирном доме, являющемся объектом культурного наследия, включенным в реестр, или выявленным объектом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культурного наследия, собственник жилого и (или) нежилого помещения, являющегося объектом культурного наследия, включенным в реестр, или выявленным объектом культурного наследия, обязаны обеспечивать поддержание данных объектов культурного наследия в надл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ежащем техническом состоянии без ухудшения физического состояния и изменения предмета охраны объекта культурного наследия, включенного в реестр, без изменения внешнего облика, объемно-планировочных и конструктивных решений и структур, интерьера объекта кул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ьтурного наследия, включенного в реестр, предмет охраны которого не определен, выявленного объекта культурного наследия, а также выполнять иные требования к содержанию и использованию данных объектов культурного наследия, предусмотренные настоящей статьей.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>
      <w:pPr>
        <w:ind w:firstLine="360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3.4.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случае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,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если содержание или использование объекта культурного наследия, включенного в реестр, выя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вленного объекта культурного наследия может привести к ухудшению физического состояния данных объектов культурного наследия, их территорий и (или) ухудшению состояния предмета охраны объекта культурного наследия, включенного в реестр, внешнего облика, объе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выявленного объекта культурного наследия, органом охраны объектов культурного наследия, определенным </w:t>
      </w:r>
      <w:hyperlink r:id="rId14" w:tooltip="https://login.consultant.ru/link/?req=doc&amp;base=LAW&amp;n=512852&amp;dst=717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 xml:space="preserve">пунктом 7 статьи 47.6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 в отношении объекта культурного наследия, включенного в реестр,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требования: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3.4.1.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К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</w:p>
        </w:tc>
      </w:tr>
    </w:tbl>
    <w:p>
      <w:pPr>
        <w:widowControl w:val="off"/>
        <w:tabs>
          <w:tab w:val="left" w:pos="1074"/>
        </w:tabs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3.4.2.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</w:p>
        </w:tc>
      </w:tr>
    </w:tbl>
    <w:p>
      <w:pPr>
        <w:widowControl w:val="off"/>
        <w:tabs>
          <w:tab w:val="left" w:pos="1074"/>
        </w:tabs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3.4.3.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К благоустройству в границах территории объекта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</w:p>
        </w:tc>
      </w:tr>
    </w:tbl>
    <w:p>
      <w:pPr>
        <w:widowControl w:val="off"/>
        <w:tabs>
          <w:tab w:val="left" w:pos="1074"/>
        </w:tabs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3.5.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</w:p>
    <w:p>
      <w:pPr>
        <w:widowControl w:val="off"/>
        <w:tabs>
          <w:tab w:val="left" w:pos="1074"/>
        </w:tabs>
        <w:ind w:left="360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к объекту культурного наследия</w:t>
      </w:r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Закона № 73-ФЗ с учет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</w:p>
    <w:p>
      <w:pPr>
        <w:widowControl w:val="off"/>
        <w:tabs>
          <w:tab w:val="left" w:pos="1074"/>
        </w:tabs>
        <w:ind w:firstLine="283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Лица, указан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 объекту культурного наследия. 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left="360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5. Требования к размещению наружной рекламы на объектах культурного наследия, их территориях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соответствии с законодательством Российской Федерации</w:t>
      </w:r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5.1.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br/>
        <w:t xml:space="preserve">35.1 Закона № 73-ФЗ: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349"/>
      </w:tblGrid>
      <w:tr>
        <w:tblPrEx>
          <w:tblW w:w="0" w:type="auto"/>
          <w:tblInd w:w="-5" w:type="dxa"/>
          <w:tblLook w:val="04A0" w:firstRow="1" w:lastRow="0" w:firstColumn="1" w:lastColumn="0" w:noHBand="0" w:noVBand="1"/>
        </w:tblPrEx>
        <w:tc>
          <w:tcPr>
            <w:tcW w:w="9350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объектах культурного наследия, включенных в реестр, а также на их территориях не доп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 зрелищно-развлекательных 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чем десять процентов рекламной площади (пространства).</w:t>
            </w: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jc w:val="center"/>
        <w:outlineLvl w:val="2"/>
        <w:rPr>
          <w:rFonts w:ascii="PT Astra Serif" w:hAnsi="PT Astra Serif" w:eastAsia="PT Astra Serif" w:cs="PT Astra Serif"/>
          <w:b/>
          <w:sz w:val="24"/>
          <w:szCs w:val="24"/>
        </w:rPr>
      </w:pPr>
      <w:bookmarkStart w:id="223" w:name="bookmark2"/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обозначений на объект культурного наследия</w:t>
      </w:r>
      <w:bookmarkEnd w:id="223"/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6.1.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информацию об объекте культурного наследия, в порядке, определенном пунктом 2 статьи 27 Закона № 73-ФЗ.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6.2.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об информационной надписи и обозначениях на объекте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2"/>
          <w:szCs w:val="12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237" w:type="dxa"/>
            <w:shd w:val="clear" w:color="auto" w:fill="auto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становлена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</w:p>
        </w:tc>
      </w:tr>
    </w:tbl>
    <w:p>
      <w:pPr>
        <w:widowControl w:val="off"/>
        <w:ind w:left="20"/>
        <w:jc w:val="center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</w:pPr>
    </w:p>
    <w:p>
      <w:pPr>
        <w:widowControl w:val="off"/>
        <w:ind w:left="20"/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объекта культурного наследия</w:t>
      </w:r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7.1.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7.2.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7.3.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Необходимость проведения работ по консервации и реставрации объекта культу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пунктом 6 статьи 45 Закона № 73-ФЗ.</w:t>
            </w:r>
          </w:p>
        </w:tc>
      </w:tr>
    </w:tbl>
    <w:p>
      <w:pPr>
        <w:rPr>
          <w:rFonts w:ascii="PT Astra Serif" w:hAnsi="PT Astra Serif" w:eastAsia="PT Astra Serif" w:cs="PT Astra Serif"/>
          <w:color w:val="000000"/>
          <w:sz w:val="26"/>
          <w:szCs w:val="26"/>
        </w:rPr>
      </w:pPr>
    </w:p>
    <w:p>
      <w:pPr>
        <w:widowControl w:val="off"/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Приложение:</w:t>
      </w:r>
    </w:p>
    <w:p>
      <w:pPr>
        <w:widowControl w:val="off"/>
        <w:numPr>
          <w:numId w:val="41"/>
          <w:ilvl w:val="0"/>
        </w:numPr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Состав (перечень) и сроки (периодичность) работ по сохранению объекта культурного наследия;</w:t>
      </w:r>
    </w:p>
    <w:p>
      <w:pPr>
        <w:widowControl w:val="off"/>
        <w:numPr>
          <w:numId w:val="41"/>
          <w:ilvl w:val="0"/>
        </w:numPr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наследия;</w:t>
      </w:r>
    </w:p>
    <w:p>
      <w:pPr>
        <w:widowControl w:val="off"/>
        <w:numPr>
          <w:numId w:val="41"/>
          <w:ilvl w:val="0"/>
        </w:numPr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Паспорт объекта культурного наследия.</w:t>
      </w:r>
    </w:p>
    <w:p>
      <w:pPr>
        <w:rPr>
          <w:rFonts w:ascii="PT Astra Serif" w:hAnsi="PT Astra Serif" w:eastAsia="PT Astra Serif" w:cs="PT Astra Serif"/>
          <w:color w:val="000000"/>
          <w:sz w:val="26"/>
          <w:szCs w:val="26"/>
        </w:rPr>
      </w:pPr>
    </w:p>
    <w:p>
      <w:pPr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br w:type="page" w:clear="all"/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>
        <w:tblPrEx>
          <w:tblW w:w="0" w:type="auto"/>
          <w:tblInd w:w="4248" w:type="dxa"/>
          <w:tblLook w:val="04A0" w:firstRow="1" w:lastRow="0" w:firstColumn="1" w:lastColumn="0" w:noHBand="0" w:noVBand="1"/>
        </w:tblPrEx>
        <w:tc>
          <w:tcPr>
            <w:tcW w:w="5097" w:type="dxa"/>
            <w:noWrap w:val="false"/>
            <w:textDirection w:val="lrTb"/>
          </w:tcPr>
          <w:p>
            <w:pPr>
              <w:widowControl w:val="off"/>
              <w:tabs>
                <w:tab w:val="left" w:pos="709"/>
              </w:tabs>
              <w:ind w:left="28" w:right="-1"/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>
            <w:pPr>
              <w:widowControl w:val="off"/>
              <w:tabs>
                <w:tab w:val="left" w:pos="709"/>
              </w:tabs>
              <w:ind w:left="28" w:right="-1"/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>
      <w:pPr>
        <w:widowControl w:val="off"/>
        <w:tabs>
          <w:tab w:val="left" w:pos="709"/>
        </w:tabs>
        <w:ind w:right="-1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709"/>
        </w:tabs>
        <w:ind w:right="-1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Состав (перечень) и сроки (периодичность) работ по сохранению объекта культурного наследия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/>
          <w:sz w:val="24"/>
          <w:szCs w:val="24"/>
          <w:lang w:eastAsia="ru-RU" w:bidi="ar-SA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715"/>
        <w:gridCol w:w="2271"/>
        <w:gridCol w:w="2690"/>
      </w:tblGrid>
      <w:tr>
        <w:tblPrEx>
          <w:tblW w:w="9243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№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п/п</w:t>
            </w:r>
          </w:p>
        </w:tc>
        <w:tc>
          <w:tcPr>
            <w:tcW w:w="3715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видов работ</w:t>
            </w:r>
          </w:p>
        </w:tc>
        <w:tc>
          <w:tcPr>
            <w:tcW w:w="2271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Сроки (периодичность) проведения работ</w:t>
            </w:r>
          </w:p>
        </w:tc>
        <w:tc>
          <w:tcPr>
            <w:tcW w:w="2690" w:type="dxa"/>
            <w:tcBorders>
              <w:bottom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3"/>
            </w:r>
          </w:p>
        </w:tc>
      </w:tr>
      <w:tr>
        <w:tblPrEx>
          <w:tblW w:w="9243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</w:t>
            </w:r>
          </w:p>
        </w:tc>
        <w:tc>
          <w:tcPr>
            <w:tcW w:w="3715" w:type="dxa"/>
            <w:noWrap w:val="false"/>
            <w:textDirection w:val="lrTb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Провести первоочередные противоаварийные работы</w:t>
            </w:r>
          </w:p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71" w:type="dxa"/>
            <w:noWrap w:val="false"/>
            <w:textDirection w:val="lrTb"/>
          </w:tcPr>
          <w:p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31.12.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2027</w:t>
            </w:r>
          </w:p>
        </w:tc>
        <w:tc>
          <w:tcPr>
            <w:tcW w:w="26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numPr>
                <w:numId w:val="2"/>
                <w:ilvl w:val="0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технического состояния от 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7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7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;</w:t>
            </w:r>
          </w:p>
          <w:p>
            <w:pPr>
              <w:pStyle w:val="ListParagraph"/>
              <w:numPr>
                <w:numId w:val="2"/>
                <w:ilvl w:val="0"/>
              </w:numPr>
              <w:tabs>
                <w:tab w:val="left" w:pos="0"/>
                <w:tab w:val="left" w:pos="32"/>
                <w:tab w:val="left" w:pos="457"/>
              </w:tabs>
              <w:ind w:left="32" w:hanging="3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исьмо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 13.07.2026 </w:t>
              <w:br/>
              <w:t xml:space="preserve">№ 48-01-1093; </w:t>
            </w:r>
          </w:p>
          <w:p>
            <w:pPr>
              <w:pStyle w:val="ListParagraph"/>
              <w:numPr>
                <w:numId w:val="2"/>
                <w:ilvl w:val="0"/>
              </w:numPr>
              <w:tabs>
                <w:tab w:val="left" w:pos="0"/>
                <w:tab w:val="left" w:pos="32"/>
                <w:tab w:val="left" w:pos="457"/>
              </w:tabs>
              <w:ind w:left="32" w:hanging="3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письмо МТУ Росимущества в Кемеровской области – Кузбассе и Томской области (вх. № 48/1439 от 20.07.2026)</w:t>
            </w:r>
          </w:p>
        </w:tc>
      </w:tr>
      <w:tr>
        <w:tblPrEx>
          <w:tblW w:w="9243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2</w:t>
            </w:r>
          </w:p>
        </w:tc>
        <w:tc>
          <w:tcPr>
            <w:tcW w:w="3715" w:type="dxa"/>
            <w:noWrap w:val="false"/>
            <w:textDirection w:val="lrTb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Провести работы по капитальному ремонту здания на основании согласованной в установленном порядке проектной документации</w:t>
            </w:r>
          </w:p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71" w:type="dxa"/>
            <w:noWrap w:val="false"/>
            <w:textDirection w:val="lrTb"/>
          </w:tcPr>
          <w:p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31.12.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29</w:t>
            </w:r>
          </w:p>
        </w:tc>
        <w:tc>
          <w:tcPr>
            <w:tcW w:w="269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numPr>
                <w:numId w:val="2"/>
                <w:ilvl w:val="0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color w:val="000000"/>
          <w:sz w:val="12"/>
          <w:szCs w:val="12"/>
        </w:rPr>
      </w:pPr>
      <w:r>
        <w:rPr>
          <w:rFonts w:ascii="PT Astra Serif" w:hAnsi="PT Astra Serif" w:eastAsia="PT Astra Serif" w:cs="PT Astra Serif"/>
          <w:color w:val="000000"/>
          <w:sz w:val="12"/>
          <w:szCs w:val="12"/>
        </w:rPr>
        <w:br w:type="page" w:clear="all"/>
      </w:r>
    </w:p>
    <w:tbl>
      <w:tblPr>
        <w:tblStyle w:val="TableGrid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>
        <w:tblPrEx>
          <w:tblW w:w="0" w:type="auto"/>
          <w:tblInd w:w="4106" w:type="dxa"/>
          <w:tblLook w:val="04A0" w:firstRow="1" w:lastRow="0" w:firstColumn="1" w:lastColumn="0" w:noHBand="0" w:noVBand="1"/>
        </w:tblPrEx>
        <w:tc>
          <w:tcPr>
            <w:tcW w:w="5108" w:type="dxa"/>
            <w:noWrap w:val="false"/>
            <w:textDirection w:val="lrTb"/>
          </w:tcPr>
          <w:p>
            <w:pPr>
              <w:widowControl w:val="off"/>
              <w:tabs>
                <w:tab w:val="left" w:pos="709"/>
              </w:tabs>
              <w:ind w:left="28" w:right="-1"/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>
            <w:pPr>
              <w:widowControl w:val="off"/>
              <w:tabs>
                <w:tab w:val="left" w:pos="709"/>
              </w:tabs>
              <w:ind w:left="28" w:right="-1"/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>
      <w:pPr>
        <w:widowControl w:val="off"/>
        <w:tabs>
          <w:tab w:val="left" w:pos="709"/>
        </w:tabs>
        <w:ind w:right="-1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709"/>
        </w:tabs>
        <w:ind w:right="-1" w:firstLine="708"/>
        <w:jc w:val="center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Требовани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>
      <w:pPr>
        <w:widowControl w:val="off"/>
        <w:tabs>
          <w:tab w:val="left" w:pos="709"/>
        </w:tabs>
        <w:ind w:right="-1" w:firstLine="708"/>
        <w:jc w:val="center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709"/>
        </w:tabs>
        <w:ind w:right="-1" w:firstLine="708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FootnoteReference"/>
          <w:rFonts w:ascii="PT Astra Serif" w:hAnsi="PT Astra Serif" w:eastAsia="PT Astra Serif" w:cs="PT Astra Serif"/>
          <w:color w:val="000000"/>
          <w:sz w:val="24"/>
          <w:szCs w:val="24"/>
        </w:rPr>
        <w:footnoteReference w:id="4"/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:</w:t>
      </w:r>
    </w:p>
    <w:p>
      <w:pPr>
        <w:widowControl w:val="off"/>
        <w:tabs>
          <w:tab w:val="left" w:pos="709"/>
        </w:tabs>
        <w:ind w:right="-1" w:firstLine="708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Style w:val="TableGrid"/>
        <w:tblW w:w="95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965"/>
        <w:gridCol w:w="3617"/>
      </w:tblGrid>
      <w:tr>
        <w:tblPrEx>
          <w:tblW w:w="9570" w:type="dxa"/>
          <w:tblLayout w:type="fixed"/>
          <w:tblLook w:val="04A0" w:firstRow="1" w:lastRow="0" w:firstColumn="1" w:lastColumn="0" w:noHBand="0" w:noVBand="1"/>
        </w:tblPrEx>
        <w:tc>
          <w:tcPr>
            <w:tcW w:w="988" w:type="dxa"/>
            <w:shd w:val="clear" w:color="auto" w:fill="auto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№ п/п</w:t>
            </w:r>
          </w:p>
        </w:tc>
        <w:tc>
          <w:tcPr>
            <w:tcW w:w="4965" w:type="dxa"/>
            <w:shd w:val="clear" w:color="auto" w:fill="auto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</w:p>
        </w:tc>
        <w:tc>
          <w:tcPr>
            <w:tcW w:w="3617" w:type="dxa"/>
            <w:shd w:val="clear" w:color="auto" w:fill="auto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FootnoteReference"/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footnoteReference w:id="5"/>
            </w:r>
          </w:p>
        </w:tc>
      </w:tr>
      <w:tr>
        <w:trPr>
          <w:trHeight w:val="276"/>
        </w:trPr>
        <w:tblPrEx>
          <w:tblW w:w="9570" w:type="dxa"/>
          <w:tblLayout w:type="fixed"/>
          <w:tblLook w:val="04A0" w:firstRow="1" w:lastRow="0" w:firstColumn="1" w:lastColumn="0" w:noHBand="0" w:noVBand="1"/>
        </w:tblPrEx>
        <w:tc>
          <w:tcPr>
            <w:tcW w:w="988" w:type="dxa"/>
            <w:shd w:val="clear" w:color="auto" w:fill="auto"/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4965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(ст. 47.5 Федерального закона от 25.06.2002 №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73-ФЗ «Об объектах культурного наследия (памятниках истории и культуры) народов Российской Федерации»</w:t>
            </w:r>
          </w:p>
        </w:tc>
        <w:tc>
          <w:tcPr>
            <w:tcW w:w="3617" w:type="dxa"/>
            <w:shd w:val="clear" w:color="auto" w:fill="auto"/>
            <w:noWrap w:val="false"/>
            <w:textDirection w:val="lrTb"/>
          </w:tcPr>
          <w:p>
            <w:pPr>
              <w:pStyle w:val="ListParagraph"/>
              <w:numPr>
                <w:numId w:val="44"/>
                <w:ilvl w:val="0"/>
              </w:numPr>
              <w:tabs>
                <w:tab w:val="left" w:pos="0"/>
                <w:tab w:val="left" w:pos="32"/>
                <w:tab w:val="left" w:pos="457"/>
              </w:tabs>
              <w:ind w:left="32" w:hanging="3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исьмо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 13.07.2026 </w:t>
              <w:br/>
              <w:t xml:space="preserve">№ 48-01-1093; </w:t>
            </w:r>
          </w:p>
          <w:p>
            <w:pPr>
              <w:pStyle w:val="ListParagraph"/>
              <w:numPr>
                <w:numId w:val="44"/>
                <w:ilvl w:val="0"/>
              </w:numPr>
              <w:tabs>
                <w:tab w:val="left" w:pos="275"/>
              </w:tabs>
              <w:ind w:left="32" w:hanging="32"/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письмо МТУ Росимущества в Кемеровской области – Кузбассе и Томской области (вх. № 48/1439 от 20.07.2026)</w:t>
            </w:r>
          </w:p>
        </w:tc>
      </w:tr>
    </w:tbl>
    <w:p>
      <w:pPr>
        <w:widowControl w:val="off"/>
        <w:tabs>
          <w:tab w:val="left" w:pos="709"/>
        </w:tabs>
        <w:ind w:right="-1" w:firstLine="708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709"/>
        </w:tabs>
        <w:ind w:right="-1" w:firstLine="708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2. Условия доступа к объекту культ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урного наследия 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FootnoteReference"/>
          <w:rFonts w:ascii="PT Astra Serif" w:hAnsi="PT Astra Serif" w:eastAsia="PT Astra Serif" w:cs="PT Astra Serif"/>
          <w:color w:val="000000"/>
          <w:sz w:val="24"/>
          <w:szCs w:val="24"/>
        </w:rPr>
        <w:footnoteReference w:id="6"/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:</w:t>
      </w:r>
    </w:p>
    <w:p>
      <w:pPr>
        <w:widowControl w:val="off"/>
        <w:tabs>
          <w:tab w:val="left" w:pos="709"/>
        </w:tabs>
        <w:ind w:right="-1" w:firstLine="708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Style w:val="TableGrid"/>
        <w:tblW w:w="95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>
        <w:tblPrEx>
          <w:tblW w:w="9570" w:type="dxa"/>
          <w:tblLayout w:type="fixed"/>
          <w:tblLook w:val="04A0" w:firstRow="1" w:lastRow="0" w:firstColumn="1" w:lastColumn="0" w:noHBand="0" w:noVBand="1"/>
        </w:tblPrEx>
        <w:tc>
          <w:tcPr>
            <w:tcW w:w="1100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№ п/п</w:t>
            </w:r>
          </w:p>
        </w:tc>
        <w:tc>
          <w:tcPr>
            <w:tcW w:w="541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</w:p>
        </w:tc>
        <w:tc>
          <w:tcPr>
            <w:tcW w:w="3054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FootnoteReference"/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footnoteReference w:id="7"/>
            </w:r>
          </w:p>
        </w:tc>
      </w:tr>
      <w:tr>
        <w:trPr>
          <w:trHeight w:val="276"/>
        </w:trPr>
        <w:tblPrEx>
          <w:tblW w:w="9570" w:type="dxa"/>
          <w:tblLayout w:type="fixed"/>
          <w:tblLook w:val="04A0" w:firstRow="1" w:lastRow="0" w:firstColumn="1" w:lastColumn="0" w:noHBand="0" w:noVBand="1"/>
        </w:tblPrEx>
        <w:tc>
          <w:tcPr>
            <w:tcW w:w="1100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5416" w:type="dxa"/>
            <w:shd w:val="clear" w:color="auto" w:fill="auto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</w:p>
        </w:tc>
      </w:tr>
    </w:tbl>
    <w:p>
      <w:r>
        <w:br w:type="page" w:clear="all"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jc w:val="right"/>
          <w:trHeight w:val="425" w:hRule="exact"/>
        </w:trPr>
        <w:tblPrEx>
          <w:tblW w:w="0" w:type="auto"/>
          <w:jc w:val="right"/>
          <w:tblLayout w:type="fixed"/>
          <w:tblLook w:val="04A0" w:firstRow="1" w:lastRow="0" w:firstColumn="1" w:lastColumn="0" w:noHBand="0" w:noVBand="1"/>
        </w:tblPrEx>
        <w:tc>
          <w:tcPr>
            <w:tcW w:w="1954" w:type="dxa"/>
            <w:tcBorders>
              <w:top w:val="none"/>
              <w:left w:val="none"/>
              <w:bottom w:val="none"/>
              <w:right w:val="none"/>
            </w:tcBorders>
            <w:noWrap w:val="false"/>
            <w:textDirection w:val="lrTb"/>
            <w:vAlign w:val="center"/>
          </w:tcPr>
          <w:p>
            <w:pPr>
              <w:ind w:right="113"/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Экземпляр №</w:t>
            </w: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</w:tr>
    </w:tbl>
    <w:p>
      <w:pPr>
        <w:rPr>
          <w:rFonts w:ascii="PT Astra Serif" w:hAnsi="PT Astra Serif" w:eastAsia="PT Astra Serif" w:cs="PT Astra Serif"/>
          <w:sz w:val="25"/>
          <w:szCs w:val="25"/>
        </w:rPr>
      </w:pPr>
    </w:p>
    <w:tbl>
      <w:tblPr>
        <w:tblW w:w="0" w:type="auto"/>
        <w:jc w:val="righ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jc w:val="right"/>
          <w:trHeight w:val="397" w:hRule="exact"/>
        </w:trPr>
        <w:tblPrEx>
          <w:tblW w:w="0" w:type="auto"/>
          <w:jc w:val="right"/>
          <w:tblLayout w:type="fixed"/>
          <w:tblLook w:val="04A0" w:firstRow="1" w:lastRow="0" w:firstColumn="1" w:lastColumn="0" w:noHBand="0" w:noVBand="1"/>
        </w:tblPrEx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</w:p>
        </w:tc>
      </w:tr>
    </w:tbl>
    <w:p>
      <w:pPr>
        <w:jc w:val="right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Регистрационный номер объекта культурного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наследия в едином государственном реестре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объектов культурного наследия (памятников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истории и культуры) народов Российской Федерации</w:t>
      </w: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Паспорт объекта культурного наследия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 исключением отдельных объектов археологического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наследия, фотографическое изображение которых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органа охраны объектов культурного наследия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  <w:lang w:eastAsia="ru-RU" w:bidi="ar-SA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3959860"/>
                <wp:effectExtent l="0" t="0" r="3810" b="254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DSC_1648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39790" cy="3959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67.70pt;height:311.80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blPrEx>
          <w:tblW w:w="0" w:type="auto"/>
          <w:tblInd w:w="5557" w:type="dxa"/>
          <w:tblLayout w:type="fixed"/>
          <w:tblLook w:val="04A0" w:firstRow="1" w:lastRow="0" w:firstColumn="1" w:lastColumn="0" w:noHBand="0" w:noVBand="1"/>
        </w:tblPrEx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</w:p>
        </w:tc>
        <w:tc>
          <w:tcPr>
            <w:tcW w:w="23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</w:p>
        </w:tc>
        <w:tc>
          <w:tcPr>
            <w:tcW w:w="23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</w:p>
        </w:tc>
      </w:tr>
    </w:tbl>
    <w:p>
      <w:pPr>
        <w:ind w:left="5500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съемки (число, месяц, год)</w:t>
      </w: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p>
      <w:pPr>
        <w:ind w:firstLine="708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Сведения о наименовании объекта культурного наследия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noWrap w:val="false"/>
            <w:textDirection w:val="lrTb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Биржевой корпус</w:t>
            </w:r>
          </w:p>
        </w:tc>
      </w:tr>
    </w:tbl>
    <w:p>
      <w:pPr>
        <w:keepNext/>
        <w:spacing w:before="255" w:beforeAutospacing="0"/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blPrEx>
          <w:tblW w:w="9384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noWrap w:val="false"/>
            <w:textDirection w:val="lrTb"/>
          </w:tcPr>
          <w:p>
            <w:pPr>
              <w:ind w:left="109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Х в.</w:t>
            </w:r>
          </w:p>
        </w:tc>
      </w:tr>
    </w:tbl>
    <w:p>
      <w:pPr>
        <w:keepNext/>
        <w:rPr>
          <w:rFonts w:ascii="PT Astra Serif" w:hAnsi="PT Astra Serif" w:eastAsia="PT Astra Serif" w:cs="PT Astra Serif"/>
          <w:sz w:val="26"/>
          <w:szCs w:val="26"/>
        </w:rPr>
      </w:pPr>
    </w:p>
    <w:p>
      <w:pPr>
        <w:keepNext/>
        <w:ind w:firstLine="708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blPrEx>
          <w:tblW w:w="9384" w:type="dxa"/>
          <w:tblLayout w:type="fixed"/>
          <w:tblLook w:val="04A0" w:firstRow="1" w:lastRow="0" w:firstColumn="1" w:lastColumn="0" w:noHBand="0" w:noVBand="1"/>
        </w:tblPrEx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значения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Регионального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значения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(муниципального)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значения</w:t>
            </w:r>
          </w:p>
        </w:tc>
      </w:tr>
      <w:tr>
        <w:tblPrEx>
          <w:tblW w:w="9384" w:type="dxa"/>
          <w:tblLayout w:type="fixed"/>
          <w:tblLook w:val="04A0" w:firstRow="1" w:lastRow="0" w:firstColumn="1" w:lastColumn="0" w:noHBand="0" w:noVBand="1"/>
        </w:tblPrEx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sz w:val="25"/>
          <w:szCs w:val="25"/>
        </w:rPr>
      </w:pPr>
    </w:p>
    <w:p>
      <w:pPr>
        <w:ind w:firstLine="708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4. Сведения о виде объекта культурного наследия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Памятник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Ансамбль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Достопримечательное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место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 и дата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93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blPrEx>
          <w:tblW w:w="9384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noWrap w:val="false"/>
            <w:textDirection w:val="lrTb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Постановление Совета Министров РСФСР от 04.12.1974 № 624 «О дополнении и частичном изменении Постановления Совета Министров РСФСР от 30 августа 1960 г. №  1327 «О дальнейшем улучшении дела охраны памятников культуры в РСФСР»</w:t>
            </w:r>
          </w:p>
        </w:tc>
      </w:tr>
    </w:tbl>
    <w:p>
      <w:pPr>
        <w:jc w:val="both"/>
        <w:rPr>
          <w:rFonts w:ascii="PT Astra Serif" w:hAnsi="PT Astra Serif" w:eastAsia="PT Astra Serif" w:cs="PT Astra Serif"/>
          <w:sz w:val="16"/>
          <w:szCs w:val="16"/>
        </w:rPr>
      </w:pPr>
    </w:p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93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blPrEx>
          <w:tblW w:w="9384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noWrap w:val="false"/>
            <w:textDirection w:val="lrTb"/>
          </w:tcPr>
          <w:p>
            <w:pPr>
              <w:ind w:left="109" w:right="147"/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область, г. Томск,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Ленина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угол Набережная реки Томи, 9</w:t>
            </w:r>
          </w:p>
        </w:tc>
      </w:tr>
    </w:tbl>
    <w:p>
      <w:pPr>
        <w:jc w:val="both"/>
        <w:rPr>
          <w:rFonts w:ascii="PT Astra Serif" w:hAnsi="PT Astra Serif" w:eastAsia="PT Astra Serif" w:cs="PT Astra Serif"/>
          <w:sz w:val="16"/>
          <w:szCs w:val="16"/>
        </w:rPr>
      </w:pPr>
    </w:p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tbl>
      <w:tblPr>
        <w:tblW w:w="935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blPrEx>
          <w:tblW w:w="9356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 w:val="false"/>
            <w:textDirection w:val="lrTb"/>
          </w:tcPr>
          <w:p>
            <w:pPr>
              <w:ind w:right="57"/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Границы территории объекта культурного наследия утверждены приказом Департамента по культуре и туризму Томской области от 16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.05.2013 № 216/01-09 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утверждении границ территории объекта культурного наследия (памятника истории и культуры) федерального значения «Биржевой корпус, ХIХ в.», расположенного по адресу: г.  Томск, пл. Ленина, 2» (зарегистрированы в ЕГРН под номером 70:21-8.408)</w:t>
            </w:r>
          </w:p>
          <w:p>
            <w:pPr>
              <w:ind w:right="57"/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38400" cy="2649855"/>
                      <wp:effectExtent l="0" t="0" r="0" b="0"/>
                      <wp:docPr id="3" name="Рисунок 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"/>
                              <pic:cNvPicPr/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38576" cy="26500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width:192.00pt;height:208.65pt;mso-wrap-distance-left:0.00pt;mso-wrap-distance-top:0.00pt;mso-wrap-distance-right:0.00pt;mso-wrap-distance-bottom:0.00pt;z-index:1;" stroked="f">
                      <v:imagedata r:id="rId16" o:title=""/>
                      <o:lock v:ext="edit" rotation="t"/>
                    </v:shape>
                  </w:pict>
                </mc:Fallback>
              </mc:AlternateContent>
            </w:r>
          </w:p>
        </w:tc>
      </w:tr>
    </w:tbl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8. Описание предмета охраны объекта культурного наследия</w:t>
      </w:r>
    </w:p>
    <w:p>
      <w:pPr>
        <w:ind w:firstLine="708"/>
        <w:jc w:val="both"/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344"/>
      </w:tblGrid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9344" w:type="dxa"/>
            <w:shd w:val="clear" w:color="auto" w:fill="auto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Согласно приказу Министерства культуры Российской Федерации от 09.04.2015 № 732 «Об утверждении предмета охраны объекта культурного наследия федераль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ного значения «Биржевой корпус», ХIХ в. (Томская область) и его регистрации в едином государственном реестре объектов культурного наследия (памятников истории и культуры) народов Российской Федерации» предметом охраны объекта культурного наследия являются:</w:t>
            </w:r>
          </w:p>
          <w:p>
            <w:pPr>
              <w:numPr>
                <w:numId w:val="40"/>
                <w:ilvl w:val="0"/>
              </w:numPr>
              <w:ind w:left="22" w:firstLine="425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Градостроительные характеристики здания, участвующего в формировании исторической застройки города центральной площади Ленина (бывшей пл. Базарной), периода сер. XIX в. Угловое расположение здан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ия в квартальной застройке, зафиксированное по северному фасаду красной линией пл. Ленина, по западному фасаду - красной линией ул. К. Маркса с расположением западного фасада и территории памятника вдоль Набережной реки Томи. Силуэт здания, сформированный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протяжённым 2-х этажным объёмом и его роль в формировании панорамного восприятия застройки с реки Томи. Секторы видовых раскрытий здания с Набережной р. Томи, пл. Ленина, мыса Воскресенской горы, ул. К. Маркса, включая круговое обзорное восприятие объекта.</w:t>
            </w:r>
          </w:p>
          <w:p>
            <w:pPr>
              <w:numPr>
                <w:numId w:val="40"/>
                <w:ilvl w:val="0"/>
              </w:numPr>
              <w:ind w:left="22" w:firstLine="425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Объёмно-пространственная комп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озиция здания, на дату постройки 1854 г., состоящая из 2-х этажного с подвалом, прямоугольного в плане объёма вытянутого по оси север - юг, наружный периметр которого, в уровне 1-го и 2-го этажа со стороны трёх фасадов оформлен обходной открытой галереей. </w:t>
            </w:r>
          </w:p>
          <w:p>
            <w:pPr>
              <w:numPr>
                <w:numId w:val="40"/>
                <w:ilvl w:val="0"/>
              </w:numPr>
              <w:ind w:left="22" w:firstLine="425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Конфигурация  крыши  (вальмовая), материал и характер  кровельного покрытия (металл с окраской), высотные отметки по коньку и карнизу крыши. Арочные слуховые окна и печные трубы их местоположение, форма, размер, материал и декоративное оформление.</w:t>
            </w:r>
          </w:p>
          <w:p>
            <w:pPr>
              <w:numPr>
                <w:numId w:val="40"/>
                <w:ilvl w:val="0"/>
              </w:numPr>
              <w:ind w:left="22" w:firstLine="425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Композиция и архитектурно-художественное оформление фасадов здания в стиле классицизм на дату постройки 1854 г., включая:</w:t>
            </w:r>
          </w:p>
          <w:p>
            <w:pPr>
              <w:ind w:left="22" w:firstLine="425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– Симметричную композицию фасадов здания (восточного, северного                             и западного), оформленных в уровне 1-го и 2-го этажа открытой обходной галерей. Галерея в уровне 1-го этажа, оформленная крупными арочными проёма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 на массивных рустованных столбах, включая: западный и восточный фасады в 15 осей арочных проёмов, северный фасад в 5 осей арочных проёмов, южный фасад «глухой» в две оси арочных проёмов, замыкающих перспективу галереи. Обходная галерея в уровне 2-го эта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жа, оформленная колоннадой тосканского ордера, включая: западный и восточный фасады в 12 осей колонн, фиксирующих оси столбов аркады 1-го этажа и северный - в 2 оси колонн с решением угловых частей здания в виде «глухих» простенков, оформленных пилястрами.</w:t>
            </w:r>
          </w:p>
          <w:p>
            <w:pPr>
              <w:ind w:firstLine="360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– Декоративное оформление фасадов, включая: профильный карниз, широкий профильный междуэтажный пояс, профильный пояс, расположенный в уровне пяты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арочных перемычек проёмов галереи 1 -го этажа, профильное обрамление арочных перемычек с объёмным массивным замковым камнем трехчастной веерной структуры, ленточный руст опорных столбов аркады, колонны тосканского ордера, пилястры с профильными капителями.</w:t>
            </w:r>
          </w:p>
          <w:p>
            <w:pPr>
              <w:ind w:firstLine="360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– Местоположение, габариты входов: главный вход организован в центральной части западного фасада, выход на обходную галерею со 2-ого этажа через три равномерно расположенных в плане дверных проема.</w:t>
            </w:r>
          </w:p>
          <w:p>
            <w:pPr>
              <w:ind w:firstLine="360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– Местоположение, размеры и форма оконных проёмов: прямоугольные с клинчатыми  и лучковыми перемычками, устроены на уровне пола (за исключением северного фасада), расположены между арочными проемами 1-ого этажа и колоннадой 2-ого этажа.</w:t>
            </w:r>
          </w:p>
          <w:p>
            <w:pPr>
              <w:numPr>
                <w:numId w:val="40"/>
                <w:ilvl w:val="0"/>
              </w:numPr>
              <w:ind w:left="22" w:firstLine="425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Материал и характер обработки фасадных поверхностей на период постройки здания 1854 г., включая: оштукатуренную поверхность гладких и рустованных участков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стен, поверхностей колонн и пилястр, профильные штукатурные элементы фасадного декора с окраской фасадных поверхностей. </w:t>
            </w:r>
          </w:p>
          <w:p>
            <w:pPr>
              <w:numPr>
                <w:numId w:val="40"/>
                <w:ilvl w:val="0"/>
              </w:numPr>
              <w:ind w:left="22" w:firstLine="425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Колористическое решение фасадов здания на 1854 г., основанное на материалах натурных исследований - белая известковая побелка. </w:t>
            </w:r>
          </w:p>
          <w:p>
            <w:pPr>
              <w:numPr>
                <w:numId w:val="40"/>
                <w:ilvl w:val="0"/>
              </w:numPr>
              <w:ind w:left="22" w:firstLine="425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Сохранившаяся пространственно-планировочная структура интерьеров здания    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       в габаритах капитальных несущих конструкций стен и перекрытий на период постройки здания 1854 г., включая первоначальные габариты дверных проёмов всех помещений здания, а также крупные проёмы галереи 1 -го этажа: лучковые - в поперечных простенках</w:t>
            </w:r>
            <w:bookmarkStart w:id="224" w:name="_GoBack"/>
            <w:bookmarkEnd w:id="224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арочные - по фасадной части. Планировочное решение здания с выделением центрального объёма, внутреннее пространство которого разделено продольными и поперечными стенами на ряд одинаковых по ширине помещений и открытые обходные галереи.</w:t>
            </w:r>
          </w:p>
          <w:p>
            <w:pPr>
              <w:pStyle w:val="ListParagraph"/>
              <w:numPr>
                <w:numId w:val="40"/>
                <w:ilvl w:val="0"/>
              </w:numPr>
              <w:tabs>
                <w:tab w:val="left" w:pos="426"/>
                <w:tab w:val="left" w:pos="731"/>
              </w:tabs>
              <w:ind w:left="22" w:firstLine="425"/>
              <w:jc w:val="both"/>
              <w:rPr>
                <w:rFonts w:ascii="PT Astra Serif" w:hAnsi="PT Astra Serif" w:eastAsia="PT Astra Serif" w:cs="PT Astra Serif"/>
                <w:sz w:val="26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Материал капитальных стен и фундаментов, конструктивная схема на период 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остройки здания 1854 г., включая: ленточные бутовые фундаменты, кирпичные стены здания, кирпичные колонны 2-го этажа из тёсаного кирпича, восстановленные по сохранившимся аналогам крестовые своды перекрытия галереи 1-го этажа, кованные металлические связи.</w:t>
            </w:r>
          </w:p>
        </w:tc>
      </w:tr>
    </w:tbl>
    <w:p>
      <w:pPr>
        <w:keepNext/>
        <w:keepLines/>
        <w:jc w:val="both"/>
        <w:rPr>
          <w:rFonts w:ascii="PT Astra Serif" w:hAnsi="PT Astra Serif" w:eastAsia="PT Astra Serif"/>
          <w:sz w:val="24"/>
          <w:szCs w:val="24"/>
        </w:rPr>
      </w:pPr>
    </w:p>
    <w:p>
      <w:pPr>
        <w:keepNext/>
        <w:keepLines/>
        <w:jc w:val="both"/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9. Сведения о наличии зон охраны данно</w:t>
      </w:r>
      <w:r>
        <w:rPr>
          <w:rFonts w:ascii="PT Astra Serif" w:hAnsi="PT Astra Serif" w:eastAsia="PT Astra Serif"/>
          <w:sz w:val="24"/>
          <w:szCs w:val="24"/>
        </w:rPr>
        <w:t xml:space="preserve">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>
      <w:pPr>
        <w:keepNext/>
        <w:keepLines/>
        <w:jc w:val="both"/>
        <w:rPr>
          <w:rFonts w:ascii="PT Astra Serif" w:hAnsi="PT Astra Serif" w:eastAsia="PT Astra Serif"/>
          <w:sz w:val="24"/>
          <w:szCs w:val="24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blPrEx>
          <w:tblW w:w="0" w:type="auto"/>
          <w:shd w:val="clear" w:color="auto" w:fill="ffff00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 w:val="false"/>
            <w:textDirection w:val="lrTb"/>
          </w:tcPr>
          <w:p>
            <w:pPr>
              <w:ind w:left="109" w:right="147"/>
              <w:jc w:val="both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Охранная зона объектов культурного наследия федерального значения ОЗФ 1-11 согласно Постано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влению Администрации Томской области от 14.06.2012 г. № 226а «Об утверждении границ зон охраны объектов культурного наследия, расположенных на территории г. Томска, режимов использования земель и градостроительных регламентов в границах данных зон охраны».</w:t>
            </w:r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blPrEx>
          <w:tblW w:w="0" w:type="auto"/>
          <w:tblInd w:w="2268" w:type="dxa"/>
          <w:tblLayout w:type="fixed"/>
          <w:tblLook w:val="04A0" w:firstRow="1" w:lastRow="0" w:firstColumn="1" w:lastColumn="0" w:noHBand="0" w:noVBand="1"/>
        </w:tblPrEx>
        <w:tc>
          <w:tcPr>
            <w:tcW w:w="4564" w:type="dxa"/>
            <w:tcBorders>
              <w:top w:val="none"/>
              <w:left w:val="none"/>
              <w:bottom w:val="none"/>
              <w:right w:val="none"/>
            </w:tcBorders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Всего в паспорте листов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4</w:t>
            </w:r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</w:p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</w:p>
    <w:p>
      <w:pPr>
        <w:rPr>
          <w:rFonts w:ascii="PT Astra Serif" w:hAnsi="PT Astra Serif" w:eastAsia="PT Astra Serif"/>
          <w:sz w:val="24"/>
          <w:szCs w:val="24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39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</w:p>
        </w:tc>
        <w:tc>
          <w:tcPr>
            <w:tcW w:w="3128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</w:p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Е.В. Перетягина 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39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eastAsia="PT Astra Serif"/>
                <w:sz w:val="20"/>
                <w:szCs w:val="20"/>
              </w:rPr>
              <w:t xml:space="preserve">должность</w:t>
            </w:r>
          </w:p>
        </w:tc>
        <w:tc>
          <w:tcPr>
            <w:tcW w:w="2117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eastAsia="PT Astra Serif"/>
                <w:sz w:val="20"/>
                <w:szCs w:val="20"/>
              </w:rPr>
              <w:t xml:space="preserve">подпись</w:t>
            </w:r>
          </w:p>
        </w:tc>
        <w:tc>
          <w:tcPr>
            <w:tcW w:w="3128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eastAsia="PT Astra Serif"/>
                <w:sz w:val="20"/>
                <w:szCs w:val="20"/>
              </w:rPr>
              <w:t xml:space="preserve">инициалы, фамилия</w:t>
            </w:r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0"/>
        <w:gridCol w:w="4664"/>
      </w:tblGrid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4785" w:type="dxa"/>
            <w:tcBorders>
              <w:top w:val="none"/>
              <w:left w:val="none"/>
              <w:bottom w:val="none"/>
              <w:right w:val="none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/>
                <w:sz w:val="26"/>
                <w:szCs w:val="26"/>
              </w:rPr>
            </w:pPr>
          </w:p>
          <w:tbl>
            <w:tblPr>
              <w:tblW w:w="0" w:type="auto"/>
              <w:tblInd w:w="57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blPrEx>
                <w:tblW w:w="0" w:type="auto"/>
                <w:tblInd w:w="57" w:type="dxa"/>
                <w:tblLook w:val="04A0" w:firstRow="1" w:lastRow="0" w:firstColumn="1" w:lastColumn="0" w:noHBand="0" w:noVBand="1"/>
              </w:tblPrEx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232" w:type="dxa"/>
                  <w:tcBorders>
                    <w:top w:val="none"/>
                    <w:left w:val="none"/>
                    <w:bottom w:val="none"/>
                    <w:right w:val="none"/>
                  </w:tcBorders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0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232" w:type="dxa"/>
                  <w:tcBorders>
                    <w:top w:val="none"/>
                    <w:left w:val="none"/>
                    <w:bottom w:val="none"/>
                    <w:right w:val="none"/>
                  </w:tcBorders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0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6</w:t>
                  </w:r>
                </w:p>
              </w:tc>
            </w:tr>
          </w:tbl>
          <w:p>
            <w:pPr>
              <w:rPr>
                <w:rFonts w:ascii="PT Astra Serif" w:hAnsi="PT Astra Serif" w:eastAsia="PT Astra Serif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Дата оформления паспорта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br/>
              <w:t xml:space="preserve">(число, месяц, год)</w:t>
            </w:r>
          </w:p>
        </w:tc>
        <w:tc>
          <w:tcPr>
            <w:tcW w:w="4785" w:type="dxa"/>
            <w:tcBorders>
              <w:top w:val="none"/>
              <w:left w:val="none"/>
              <w:bottom w:val="none"/>
              <w:right w:val="none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>
                <w:ffData>
                  <w:name w:val=""/>
                  <w:enabled w:val="true"/>
                  <w:calcOnExit w:val="false"/>
                  <w:textInput/>
                </w:ffData>
              </w:fldCha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</w:tr>
    </w:tbl>
    <w:p>
      <w:pPr>
        <w:rPr>
          <w:rFonts w:ascii="PT Astra Serif" w:hAnsi="PT Astra Serif" w:eastAsia="PT Astra Serif" w:cs="PT Astra Serif"/>
          <w:i/>
          <w:iCs/>
          <w:sz w:val="24"/>
          <w:szCs w:val="24"/>
        </w:rPr>
      </w:pPr>
    </w:p>
    <w:p>
      <w:pPr>
        <w:rPr>
          <w:rFonts w:ascii="PT Astra Serif" w:hAnsi="PT Astra Serif"/>
          <w:sz w:val="24"/>
          <w:szCs w:val="24"/>
        </w:rPr>
      </w:pPr>
    </w:p>
    <w:sectPr>
      <w:headerReference w:type="default" r:id="rId8"/>
      <w:headerReference w:type="first" r:id="rId9"/>
      <w:footerReference w:type="first" r:id="rId10"/>
      <w:type w:val="nextPage"/>
      <w:pgSz w:w="11906" w:h="16838" w:orient="portrait"/>
      <w:pgMar w:top="1134" w:right="851" w:bottom="1134" w:left="1701" w:header="397" w:footer="609" w:gutter="0"/>
      <w:cols w:num="1" w:sep="0" w:space="709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"/>
      <w:rPr>
        <w:sz w:val="18"/>
        <w:lang w:val="en-US"/>
      </w:rPr>
    </w:pPr>
    <w:r>
      <w:rPr>
        <w:rFonts w:ascii="PT Astra Serif" w:hAnsi="PT Astra Serif" w:eastAsia="PT Astra Serif" w:cs="PT Astra Serif"/>
        <w:sz w:val="18"/>
      </w:rPr>
      <w:t xml:space="preserve">Ю</w:t>
    </w:r>
    <w:r>
      <w:rPr>
        <w:rFonts w:ascii="PT Astra Serif" w:hAnsi="PT Astra Serif" w:eastAsia="PT Astra Serif" w:cs="PT Astra Serif"/>
        <w:sz w:val="18"/>
      </w:rPr>
      <w:t xml:space="preserve">.С. </w:t>
    </w:r>
    <w:r>
      <w:rPr>
        <w:rFonts w:ascii="PT Astra Serif" w:hAnsi="PT Astra Serif" w:eastAsia="PT Astra Serif" w:cs="PT Astra Serif"/>
        <w:sz w:val="18"/>
      </w:rPr>
      <w:t xml:space="preserve">Матве</w:t>
    </w:r>
    <w:r>
      <w:rPr>
        <w:rFonts w:ascii="PT Astra Serif" w:hAnsi="PT Astra Serif" w:eastAsia="PT Astra Serif" w:cs="PT Astra Serif"/>
        <w:sz w:val="18"/>
      </w:rPr>
      <w:t xml:space="preserve">ева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  <w:footnote w:id="2">
    <w:p>
      <w:pPr>
        <w:pStyle w:val="FootnoteText"/>
        <w:jc w:val="both"/>
        <w:rPr>
          <w:rFonts w:ascii="PT Astra Serif" w:hAnsi="PT Astra Serif" w:eastAsia="PT Astra Serif" w:cs="PT Astra Serif"/>
          <w:sz w:val="20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T Astra Serif" w:hAnsi="PT Astra Serif" w:eastAsia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hAnsi="PT Astra Serif" w:eastAsia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hAnsi="PT Astra Serif" w:eastAsia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hAnsi="PT Astra Serif" w:eastAsia="PT Astra Serif" w:cs="PT Astra Serif"/>
          <w:sz w:val="20"/>
        </w:rPr>
        <w:br/>
        <w:t xml:space="preserve">№ 73-ФЗ, он является неотъемлемой частью охранного обязательства.</w:t>
      </w:r>
    </w:p>
  </w:footnote>
  <w:footnote w:id="3">
    <w:p>
      <w:pPr>
        <w:pStyle w:val="FootnoteText"/>
        <w:jc w:val="both"/>
        <w:rPr>
          <w:rFonts w:ascii="PT Astra Serif" w:hAnsi="PT Astra Serif"/>
        </w:rPr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</w:t>
      </w:r>
      <w:r>
        <w:rPr>
          <w:rFonts w:ascii="PT Astra Serif" w:hAnsi="PT Astra Serif"/>
        </w:rP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4">
    <w:p>
      <w:pPr>
        <w:pStyle w:val="FootnoteText"/>
        <w:rPr>
          <w:rFonts w:ascii="PT Astra Serif" w:hAnsi="PT Astra Serif"/>
        </w:rPr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З</w:t>
      </w:r>
      <w:r>
        <w:rPr>
          <w:rFonts w:ascii="PT Astra Serif" w:hAnsi="PT Astra Serif"/>
        </w:rPr>
        <w:t xml:space="preserve"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5">
    <w:p>
      <w:pPr>
        <w:pStyle w:val="FootnoteText"/>
        <w:rPr>
          <w:rFonts w:ascii="PT Astra Serif" w:hAnsi="PT Astra Serif"/>
        </w:rPr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  <w:footnote w:id="6">
    <w:p>
      <w:pPr>
        <w:pStyle w:val="FootnoteText"/>
        <w:rPr>
          <w:rFonts w:ascii="PT Astra Serif" w:hAnsi="PT Astra Serif"/>
        </w:rPr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</w:p>
  </w:footnote>
  <w:footnote w:id="7">
    <w:p>
      <w:pPr>
        <w:pStyle w:val="FootnoteText"/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</w:t>
      </w:r>
      <w:r>
        <w:rPr>
          <w:rFonts w:ascii="PT Astra Serif" w:hAnsi="PT Astra Serif"/>
        </w:rP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056741123"/>
      <w:docPartObj>
        <w:docPartGallery w:val="Page Numbers (Top of Page)"/>
        <w:docPartUnique w:val="true"/>
      </w:docPartObj>
    </w:sdtPr>
    <w:sdtContent>
      <w:p>
        <w:pPr>
          <w:pStyle w:val="Header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10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b/>
        <w:lang w:val="en-US"/>
      </w:rPr>
    </w:pPr>
    <w:r>
      <w:rPr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</w:p>
  <w:p>
    <w:pPr>
      <w:pStyle w:val="1"/>
      <w:spacing w:before="0" w:after="0" w:line="360" w:lineRule="exact"/>
      <w:rPr>
        <w:rFonts w:ascii="PT Astra Serif" w:hAnsi="PT Astra Serif" w:eastAsia="PT Astra Serif" w:cs="PT Astra Serif"/>
        <w:sz w:val="30"/>
        <w:szCs w:val="28"/>
        <w:lang w:val="ru-RU"/>
      </w:rPr>
    </w:pPr>
    <w:r>
      <w:rPr>
        <w:rFonts w:ascii="PT Astra Serif" w:hAnsi="PT Astra Serif" w:eastAsia="PT Astra Serif" w:cs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</w:p>
  <w:p>
    <w:pPr>
      <w:pStyle w:val="1"/>
      <w:spacing w:before="240" w:after="0"/>
      <w:rPr>
        <w:rFonts w:ascii="PT Astra Serif" w:hAnsi="PT Astra Serif" w:eastAsia="PT Astra Serif" w:cs="PT Astra Serif"/>
        <w:sz w:val="36"/>
        <w:szCs w:val="36"/>
      </w:rPr>
    </w:pPr>
    <w:r>
      <w:rPr>
        <w:rFonts w:ascii="PT Astra Serif" w:hAnsi="PT Astra Serif" w:eastAsia="PT Astra Serif" w:cs="PT Astra Serif"/>
        <w:spacing w:val="20"/>
        <w:szCs w:val="36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3.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position w:val="0"/>
        <w:sz w:val="21"/>
        <w:szCs w:val="21"/>
        <w:u w:val="none"/>
      </w:rPr>
    </w:lvl>
    <w:lvl w:ilvl="1">
      <w:start w:val="1"/>
      <w:numFmt w:val="decimal"/>
      <w:lvlJc w:val="left"/>
      <w:rPr>
        <w:rFonts w:cs="Times New Roman"/>
      </w:rPr>
    </w:lvl>
    <w:lvl w:ilvl="2">
      <w:start w:val="1"/>
      <w:numFmt w:val="decimal"/>
      <w:lvlJc w:val="left"/>
      <w:rPr>
        <w:rFonts w:cs="Times New Roman"/>
      </w:rPr>
    </w:lvl>
    <w:lvl w:ilvl="3">
      <w:start w:val="1"/>
      <w:numFmt w:val="decimal"/>
      <w:lvlJc w:val="left"/>
      <w:rPr>
        <w:rFonts w:cs="Times New Roman"/>
      </w:rPr>
    </w:lvl>
    <w:lvl w:ilvl="4">
      <w:start w:val="1"/>
      <w:numFmt w:val="decimal"/>
      <w:lvlJc w:val="left"/>
      <w:rPr>
        <w:rFonts w:cs="Times New Roman"/>
      </w:rPr>
    </w:lvl>
    <w:lvl w:ilvl="5">
      <w:start w:val="1"/>
      <w:numFmt w:val="decimal"/>
      <w:lvlJc w:val="left"/>
      <w:rPr>
        <w:rFonts w:cs="Times New Roman"/>
      </w:rPr>
    </w:lvl>
    <w:lvl w:ilvl="6">
      <w:start w:val="1"/>
      <w:numFmt w:val="decimal"/>
      <w:lvlJc w:val="left"/>
      <w:rPr>
        <w:rFonts w:cs="Times New Roman"/>
      </w:rPr>
    </w:lvl>
    <w:lvl w:ilvl="7">
      <w:start w:val="1"/>
      <w:numFmt w:val="decimal"/>
      <w:lvlJc w:val="left"/>
      <w:rPr>
        <w:rFonts w:cs="Times New Roman"/>
      </w:rPr>
    </w:lvl>
    <w:lvl w:ilvl="8">
      <w:start w:val="1"/>
      <w:numFmt w:val="decimal"/>
      <w:lvlJc w:val="left"/>
      <w:rPr>
        <w:rFonts w:cs="Times New Roman"/>
      </w:rPr>
    </w:lvl>
  </w:abstractNum>
  <w:abstractNum w:abstractNumId="3">
    <w:multiLevelType w:val="hybridMultilevel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">
    <w:multiLevelType w:val="hybridMultilevel"/>
    <w:lvl w:ilvl="0">
      <w:start w:val="2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0440"/>
        </w:tabs>
        <w:ind w:left="1044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0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">
    <w:multiLevelType w:val="hybridMultilevel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none"/>
      <w:lvlJc w:val="left"/>
      <w:pPr>
        <w:tabs>
          <w:tab w:val="num" w:pos="360"/>
        </w:tabs>
      </w:pPr>
    </w:lvl>
    <w:lvl w:ilvl="2">
      <w:start w:val="1"/>
      <w:numFmt w:val="none"/>
      <w:lvlJc w:val="left"/>
      <w:pPr>
        <w:tabs>
          <w:tab w:val="num" w:pos="360"/>
        </w:tabs>
      </w:pPr>
    </w:lvl>
    <w:lvl w:ilvl="3">
      <w:start w:val="1"/>
      <w:numFmt w:val="none"/>
      <w:lvlJc w:val="left"/>
      <w:pPr>
        <w:tabs>
          <w:tab w:val="num" w:pos="360"/>
        </w:tabs>
      </w:pPr>
    </w:lvl>
    <w:lvl w:ilvl="4">
      <w:start w:val="1"/>
      <w:numFmt w:val="none"/>
      <w:lvlJc w:val="left"/>
      <w:pPr>
        <w:tabs>
          <w:tab w:val="num" w:pos="360"/>
        </w:tabs>
      </w:pPr>
    </w:lvl>
    <w:lvl w:ilvl="5">
      <w:start w:val="1"/>
      <w:numFmt w:val="none"/>
      <w:lvlJc w:val="left"/>
      <w:pPr>
        <w:tabs>
          <w:tab w:val="num" w:pos="360"/>
        </w:tabs>
      </w:pPr>
    </w:lvl>
    <w:lvl w:ilvl="6">
      <w:start w:val="1"/>
      <w:numFmt w:val="none"/>
      <w:lvlJc w:val="left"/>
      <w:pPr>
        <w:tabs>
          <w:tab w:val="num" w:pos="360"/>
        </w:tabs>
      </w:pPr>
    </w:lvl>
    <w:lvl w:ilvl="7">
      <w:start w:val="1"/>
      <w:numFmt w:val="none"/>
      <w:lvlJc w:val="left"/>
      <w:pPr>
        <w:tabs>
          <w:tab w:val="num" w:pos="360"/>
        </w:tabs>
      </w:pPr>
    </w:lvl>
    <w:lvl w:ilvl="8">
      <w:start w:val="1"/>
      <w:numFmt w:val="none"/>
      <w:lvlJc w:val="left"/>
      <w:pPr>
        <w:tabs>
          <w:tab w:val="num" w:pos="360"/>
        </w:tabs>
      </w:p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346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multiLevelType w:val="hybridMultilevel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4">
    <w:multiLevelType w:val="hybridMultilevel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T Astra Serif" w:hAnsi="PT Astra Serif" w:eastAsia="Times New Roman" w:cs="Times New Roman"/>
        <w:b w:val="0"/>
        <w:color w:val="auto"/>
      </w:rPr>
    </w:lvl>
    <w:lvl w:ilvl="1">
      <w:start w:val="1"/>
      <w:numFmt w:val="none"/>
      <w:lvlJc w:val="left"/>
      <w:pPr>
        <w:tabs>
          <w:tab w:val="num" w:pos="360"/>
        </w:tabs>
      </w:pPr>
    </w:lvl>
    <w:lvl w:ilvl="2">
      <w:start w:val="1"/>
      <w:numFmt w:val="none"/>
      <w:lvlJc w:val="left"/>
      <w:pPr>
        <w:tabs>
          <w:tab w:val="num" w:pos="360"/>
        </w:tabs>
      </w:pPr>
    </w:lvl>
    <w:lvl w:ilvl="3">
      <w:start w:val="1"/>
      <w:numFmt w:val="none"/>
      <w:lvlJc w:val="left"/>
      <w:pPr>
        <w:tabs>
          <w:tab w:val="num" w:pos="360"/>
        </w:tabs>
      </w:pPr>
    </w:lvl>
    <w:lvl w:ilvl="4">
      <w:start w:val="1"/>
      <w:numFmt w:val="none"/>
      <w:lvlJc w:val="left"/>
      <w:pPr>
        <w:tabs>
          <w:tab w:val="num" w:pos="360"/>
        </w:tabs>
      </w:pPr>
    </w:lvl>
    <w:lvl w:ilvl="5">
      <w:start w:val="1"/>
      <w:numFmt w:val="none"/>
      <w:lvlJc w:val="left"/>
      <w:pPr>
        <w:tabs>
          <w:tab w:val="num" w:pos="360"/>
        </w:tabs>
      </w:pPr>
    </w:lvl>
    <w:lvl w:ilvl="6">
      <w:start w:val="1"/>
      <w:numFmt w:val="none"/>
      <w:lvlJc w:val="left"/>
      <w:pPr>
        <w:tabs>
          <w:tab w:val="num" w:pos="360"/>
        </w:tabs>
      </w:pPr>
    </w:lvl>
    <w:lvl w:ilvl="7">
      <w:start w:val="1"/>
      <w:numFmt w:val="none"/>
      <w:lvlJc w:val="left"/>
      <w:pPr>
        <w:tabs>
          <w:tab w:val="num" w:pos="360"/>
        </w:tabs>
      </w:pPr>
    </w:lvl>
    <w:lvl w:ilvl="8">
      <w:start w:val="1"/>
      <w:numFmt w:val="none"/>
      <w:lvlJc w:val="left"/>
      <w:pPr>
        <w:tabs>
          <w:tab w:val="num" w:pos="360"/>
        </w:tabs>
      </w:pPr>
    </w:lvl>
  </w:abstractNum>
  <w:abstractNum w:abstractNumId="17">
    <w:multiLevelType w:val="hybridMultilevel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18">
    <w:multiLevelType w:val="hybridMultilevel"/>
    <w:lvl w:ilvl="0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19">
    <w:multiLevelType w:val="hybridMultilevel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5"/>
      <w:numFmt w:val="decimal"/>
      <w:lvlText w:val="%1."/>
      <w:lvlJc w:val="left"/>
      <w:pPr>
        <w:tabs>
          <w:tab w:val="left" w:pos="928"/>
        </w:tabs>
        <w:ind w:left="928" w:hanging="360"/>
      </w:pPr>
      <w:rPr>
        <w:rFonts w:hint="default"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left" w:pos="1648"/>
        </w:tabs>
        <w:ind w:left="16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368"/>
        </w:tabs>
        <w:ind w:left="23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088"/>
        </w:tabs>
        <w:ind w:left="30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808"/>
        </w:tabs>
        <w:ind w:left="38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528"/>
        </w:tabs>
        <w:ind w:left="45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248"/>
        </w:tabs>
        <w:ind w:left="52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968"/>
        </w:tabs>
        <w:ind w:left="59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688"/>
        </w:tabs>
        <w:ind w:left="6688" w:hanging="180"/>
      </w:pPr>
      <w:rPr>
        <w:rFonts w:cs="Times New Roman"/>
      </w:rPr>
    </w:lvl>
  </w:abstractNum>
  <w:abstractNum w:abstractNumId="23">
    <w:multiLevelType w:val="hybridMultilevel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hAnsi="Times New Roman" w:eastAsia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hAnsi="Times New Roman" w:eastAsia="Times New Roman" w:cs="Times New Roman"/>
        <w:spacing w:val="-10"/>
        <w:sz w:val="24"/>
        <w:szCs w:val="24"/>
        <w:lang w:val="ru-RU" w:eastAsia="ru-RU" w:bidi="ru-RU"/>
      </w:rPr>
    </w:lvl>
    <w:lvl w:ilvl="2">
      <w:start w:val="1"/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start w:val="1"/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start w:val="1"/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start w:val="1"/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start w:val="1"/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start w:val="1"/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start w:val="1"/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 w:cs="Times New Roman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26">
    <w:multiLevelType w:val="hybridMultilevel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>
    <w:multiLevelType w:val="hybridMultilevel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885" w:hanging="360"/>
      </w:pPr>
    </w:lvl>
    <w:lvl w:ilvl="2">
      <w:start w:val="1"/>
      <w:numFmt w:val="lowerRoman"/>
      <w:lvlText w:val="%3."/>
      <w:lvlJc w:val="right"/>
      <w:pPr>
        <w:ind w:left="8605" w:hanging="180"/>
      </w:pPr>
    </w:lvl>
    <w:lvl w:ilvl="3">
      <w:start w:val="1"/>
      <w:numFmt w:val="decimal"/>
      <w:lvlText w:val="%4."/>
      <w:lvlJc w:val="left"/>
      <w:pPr>
        <w:ind w:left="9325" w:hanging="360"/>
      </w:pPr>
    </w:lvl>
    <w:lvl w:ilvl="4">
      <w:start w:val="1"/>
      <w:numFmt w:val="lowerLetter"/>
      <w:lvlText w:val="%5."/>
      <w:lvlJc w:val="left"/>
      <w:pPr>
        <w:ind w:left="10045" w:hanging="360"/>
      </w:pPr>
    </w:lvl>
    <w:lvl w:ilvl="5">
      <w:start w:val="1"/>
      <w:numFmt w:val="lowerRoman"/>
      <w:lvlText w:val="%6."/>
      <w:lvlJc w:val="right"/>
      <w:pPr>
        <w:ind w:left="10765" w:hanging="180"/>
      </w:pPr>
    </w:lvl>
    <w:lvl w:ilvl="6">
      <w:start w:val="1"/>
      <w:numFmt w:val="decimal"/>
      <w:lvlText w:val="%7."/>
      <w:lvlJc w:val="left"/>
      <w:pPr>
        <w:ind w:left="11485" w:hanging="360"/>
      </w:pPr>
    </w:lvl>
    <w:lvl w:ilvl="7">
      <w:start w:val="1"/>
      <w:numFmt w:val="lowerLetter"/>
      <w:lvlText w:val="%8."/>
      <w:lvlJc w:val="left"/>
      <w:pPr>
        <w:ind w:left="12205" w:hanging="360"/>
      </w:pPr>
    </w:lvl>
    <w:lvl w:ilvl="8">
      <w:start w:val="1"/>
      <w:numFmt w:val="lowerRoman"/>
      <w:lvlText w:val="%9."/>
      <w:lvlJc w:val="right"/>
      <w:pPr>
        <w:ind w:left="12925" w:hanging="180"/>
      </w:pPr>
    </w:lvl>
  </w:abstractNum>
  <w:abstractNum w:abstractNumId="34">
    <w:multiLevelType w:val="hybridMultilevel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multiLevelType w:val="hybridMultilevel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16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lvlText w:val="%1."/>
      <w:lvlJc w:val="left"/>
      <w:pPr>
        <w:tabs>
          <w:tab w:val="left" w:pos="1637"/>
        </w:tabs>
        <w:ind w:left="1637" w:hanging="360"/>
      </w:pPr>
      <w:rPr>
        <w:rFonts w:hint="default" w:cs="Times New Roman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 w:cs="Times New Roman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 w:cs="Times New Roman"/>
      </w:rPr>
    </w:lvl>
  </w:abstractNum>
  <w:abstractNum w:abstractNumId="38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lvlText w:val="%1"/>
      <w:lvlJc w:val="left"/>
      <w:pPr>
        <w:tabs>
          <w:tab w:val="left" w:pos="384"/>
        </w:tabs>
        <w:ind w:left="384" w:hanging="384"/>
      </w:pPr>
      <w:rPr>
        <w:rFonts w:hint="default" w:cs="Times New Roman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384"/>
      </w:pPr>
      <w:rPr>
        <w:rFonts w:ascii="Times New Roman" w:hAnsi="Times New Roman" w:eastAsia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left" w:pos="672"/>
        </w:tabs>
        <w:ind w:left="672" w:hanging="720"/>
      </w:pPr>
      <w:rPr>
        <w:rFonts w:hint="default" w:cs="Times New Roman"/>
      </w:rPr>
    </w:lvl>
    <w:lvl w:ilvl="3">
      <w:start w:val="1"/>
      <w:numFmt w:val="decimal"/>
      <w:lvlText w:val="%1.%2.%3.%4"/>
      <w:lvlJc w:val="left"/>
      <w:pPr>
        <w:tabs>
          <w:tab w:val="left" w:pos="648"/>
        </w:tabs>
        <w:ind w:left="648" w:hanging="720"/>
      </w:pPr>
      <w:rPr>
        <w:rFonts w:hint="default" w:cs="Times New Roman"/>
      </w:rPr>
    </w:lvl>
    <w:lvl w:ilvl="4">
      <w:start w:val="1"/>
      <w:numFmt w:val="decimal"/>
      <w:lvlText w:val="%1.%2.%3.%4.%5"/>
      <w:lvlJc w:val="left"/>
      <w:pPr>
        <w:tabs>
          <w:tab w:val="left" w:pos="984"/>
        </w:tabs>
        <w:ind w:left="984" w:hanging="1080"/>
      </w:pPr>
      <w:rPr>
        <w:rFonts w:hint="default" w:cs="Times New Roman"/>
      </w:rPr>
    </w:lvl>
    <w:lvl w:ilvl="5">
      <w:start w:val="1"/>
      <w:numFmt w:val="decimal"/>
      <w:lvlText w:val="%1.%2.%3.%4.%5.%6"/>
      <w:lvlJc w:val="left"/>
      <w:pPr>
        <w:tabs>
          <w:tab w:val="left" w:pos="960"/>
        </w:tabs>
        <w:ind w:left="960" w:hanging="1080"/>
      </w:pPr>
      <w:rPr>
        <w:rFonts w:hint="default" w:cs="Times New Roman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440"/>
      </w:pPr>
      <w:rPr>
        <w:rFonts w:hint="default" w:cs="Times New Roman"/>
      </w:rPr>
    </w:lvl>
    <w:lvl w:ilvl="7">
      <w:start w:val="1"/>
      <w:numFmt w:val="decimal"/>
      <w:lvlText w:val="%1.%2.%3.%4.%5.%6.%7.%8"/>
      <w:lvlJc w:val="left"/>
      <w:pPr>
        <w:tabs>
          <w:tab w:val="left" w:pos="1272"/>
        </w:tabs>
        <w:ind w:left="1272" w:hanging="1440"/>
      </w:pPr>
      <w:rPr>
        <w:rFonts w:hint="default" w:cs="Times New Roman"/>
      </w:rPr>
    </w:lvl>
    <w:lvl w:ilvl="8">
      <w:start w:val="1"/>
      <w:numFmt w:val="decimal"/>
      <w:lvlText w:val="%1.%2.%3.%4.%5.%6.%7.%8.%9"/>
      <w:lvlJc w:val="left"/>
      <w:pPr>
        <w:tabs>
          <w:tab w:val="left" w:pos="1608"/>
        </w:tabs>
        <w:ind w:left="1608" w:hanging="1800"/>
      </w:pPr>
      <w:rPr>
        <w:rFonts w:hint="default" w:cs="Times New Roman"/>
      </w:rPr>
    </w:lvl>
  </w:abstractNum>
  <w:num w:numId="1">
    <w:abstractNumId w:val="33"/>
  </w:num>
  <w:num w:numId="2">
    <w:abstractNumId w:val="19"/>
  </w:num>
  <w:num w:numId="3">
    <w:abstractNumId w:val="18"/>
  </w:num>
  <w:num w:numId="4">
    <w:abstractNumId w:val="21"/>
  </w:num>
  <w:num w:numId="5">
    <w:abstractNumId w:val="20"/>
  </w:num>
  <w:num w:numId="6">
    <w:abstractNumId w:val="26"/>
  </w:num>
  <w:num w:numId="7">
    <w:abstractNumId w:val="28"/>
  </w:num>
  <w:num w:numId="8">
    <w:abstractNumId w:val="13"/>
  </w:num>
  <w:num w:numId="9">
    <w:abstractNumId w:val="3"/>
  </w:num>
  <w:num w:numId="10">
    <w:abstractNumId w:val="24"/>
  </w:num>
  <w:num w:numId="11">
    <w:abstractNumId w:val="2"/>
  </w:num>
  <w:num w:numId="12">
    <w:abstractNumId w:val="30"/>
  </w:num>
  <w:num w:numId="13">
    <w:abstractNumId w:val="25"/>
  </w:num>
  <w:num w:numId="14">
    <w:abstractNumId w:val="7"/>
  </w:num>
  <w:num w:numId="15">
    <w:abstractNumId w:val="27"/>
  </w:num>
  <w:num w:numId="16">
    <w:abstractNumId w:val="41"/>
  </w:num>
  <w:num w:numId="17">
    <w:abstractNumId w:val="42"/>
  </w:num>
  <w:num w:numId="18">
    <w:abstractNumId w:val="9"/>
  </w:num>
  <w:num w:numId="19">
    <w:abstractNumId w:val="39"/>
  </w:num>
  <w:num w:numId="20">
    <w:abstractNumId w:val="16"/>
  </w:num>
  <w:num w:numId="21">
    <w:abstractNumId w:val="38"/>
  </w:num>
  <w:num w:numId="22">
    <w:abstractNumId w:val="29"/>
  </w:num>
  <w:num w:numId="23">
    <w:abstractNumId w:val="35"/>
  </w:num>
  <w:num w:numId="24">
    <w:abstractNumId w:val="40"/>
  </w:num>
  <w:num w:numId="25">
    <w:abstractNumId w:val="15"/>
  </w:num>
  <w:num w:numId="26">
    <w:abstractNumId w:val="1"/>
  </w:num>
  <w:num w:numId="27">
    <w:abstractNumId w:val="17"/>
  </w:num>
  <w:num w:numId="28">
    <w:abstractNumId w:val="11"/>
  </w:num>
  <w:num w:numId="29">
    <w:abstractNumId w:val="14"/>
  </w:num>
  <w:num w:numId="30">
    <w:abstractNumId w:val="23"/>
  </w:num>
  <w:num w:numId="31">
    <w:abstractNumId w:val="32"/>
  </w:num>
  <w:num w:numId="32">
    <w:abstractNumId w:val="31"/>
  </w:num>
  <w:num w:numId="33">
    <w:abstractNumId w:val="36"/>
  </w:num>
  <w:num w:numId="34">
    <w:abstractNumId w:val="0"/>
  </w:num>
  <w:num w:numId="35">
    <w:abstractNumId w:val="5"/>
  </w:num>
  <w:num w:numId="36">
    <w:abstractNumId w:val="37"/>
  </w:num>
  <w:num w:numId="37">
    <w:abstractNumId w:val="43"/>
  </w:num>
  <w:num w:numId="38">
    <w:abstractNumId w:val="22"/>
  </w:num>
  <w:num w:numId="39">
    <w:abstractNumId w:val="6"/>
  </w:num>
  <w:num w:numId="40">
    <w:abstractNumId w:val="8"/>
  </w:num>
  <w:num w:numId="41">
    <w:abstractNumId w:val="34"/>
  </w:num>
  <w:num w:numId="42">
    <w:abstractNumId w:val="4"/>
  </w:num>
  <w:num w:numId="43">
    <w:abstractNumId w:val="12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smallFrac m:val="true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CaptionChar" w:customStyle="1">
    <w:name w:val="Caption Char"/>
    <w:uiPriority w:val="35"/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11" w:customStyle="1">
    <w:name w:val="Заголовок 11"/>
    <w:basedOn w:val="Normal"/>
    <w:next w:val="Normal"/>
    <w:link w:val="1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1" w:customStyle="1">
    <w:name w:val="Заголовок 21"/>
    <w:basedOn w:val="Normal"/>
    <w:next w:val="Normal"/>
    <w:link w:val="2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styleId="31" w:customStyle="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1" w:customStyle="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1" w:customStyle="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1" w:customStyle="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1" w:customStyle="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1" w:customStyle="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1" w:customStyle="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table" w:styleId="110" w:customStyle="1">
    <w:name w:val="Таблица простая 11"/>
    <w:basedOn w:val="Table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auto" w:fill="f2f2f2"/>
      </w:tcPr>
    </w:tblStylePr>
    <w:tblStylePr w:type="band1Vert">
      <w:tcPr>
        <w:shd w:val="clear" w:color="auto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10" w:customStyle="1">
    <w:name w:val="Таблица простая 21"/>
    <w:basedOn w:val="TableNormal"/>
    <w:uiPriority w:val="59"/>
    <w:tblPr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310" w:customStyle="1">
    <w:name w:val="Таблица простая 3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10" w:customStyle="1">
    <w:name w:val="Таблица простая 4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 w:customStyle="1">
    <w:name w:val="Таблица простая 5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auto" w:fill="ffffff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auto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auto" w:fill="ffffff"/>
      </w:tcPr>
    </w:tblStylePr>
  </w:style>
  <w:style w:type="table" w:styleId="-11" w:customStyle="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21" w:customStyle="1">
    <w:name w:val="Таблица-сетка 21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-31" w:customStyle="1">
    <w:name w:val="Таблица-сетка 31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-41" w:customStyle="1">
    <w:name w:val="Таблица-сетка 41"/>
    <w:basedOn w:val="Table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-51" w:customStyle="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bfbfbf"/>
    </w:tblPr>
    <w:tblStylePr w:type="band1Horz">
      <w:tcPr>
        <w:shd w:val="clear" w:color="auto" w:fill="8a8a8a"/>
      </w:tcPr>
    </w:tblStylePr>
    <w:tblStylePr w:type="band1Vert">
      <w:tcPr>
        <w:shd w:val="clear" w:color="auto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000000"/>
      </w:tcPr>
    </w:tblStylePr>
  </w:style>
  <w:style w:type="table" w:styleId="-61" w:customStyle="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/>
      </w:tcPr>
    </w:tblStylePr>
    <w:tblStylePr w:type="band1Vert"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-71" w:customStyle="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/>
      </w:tcPr>
    </w:tblStylePr>
    <w:tblStylePr w:type="band1Vert"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-110" w:customStyle="1">
    <w:name w:val="Список-таблица 1 светлая1"/>
    <w:basedOn w:val="TableNormal"/>
    <w:uiPriority w:val="99"/>
    <w:tblPr>
      <w:tblStyleRowBandSize w:val="1"/>
      <w:tblStyleColBandSize w:val="1"/>
    </w:tblPr>
    <w:tblStylePr w:type="band1Horz"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-210" w:customStyle="1">
    <w:name w:val="Список-таблица 21"/>
    <w:basedOn w:val="Table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</w:style>
  <w:style w:type="table" w:styleId="-310" w:customStyle="1">
    <w:name w:val="Список-таблица 31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410" w:customStyle="1">
    <w:name w:val="Список-таблица 41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510" w:customStyle="1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auto" w:fill="7f7f7f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f7f7f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7f7f7f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f7f7f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auto" w:fill="7f7f7f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-610" w:customStyle="1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-710" w:customStyle="1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FooterChar" w:customStyle="1">
    <w:name w:val="Footer Char"/>
    <w:basedOn w:val="DefaultParagraphFont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rPr>
      <w:rFonts w:ascii="Arial" w:hAnsi="Arial" w:eastAsia="Arial" w:cs="Arial"/>
      <w:sz w:val="34"/>
    </w:rPr>
  </w:style>
  <w:style w:type="character" w:styleId="3" w:customStyle="1">
    <w:name w:val="Заголовок 3 Знак"/>
    <w:link w:val="31"/>
    <w:uiPriority w:val="9"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link w:val="41"/>
    <w:uiPriority w:val="9"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link w:val="51"/>
    <w:uiPriority w:val="9"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link w:val="61"/>
    <w:uiPriority w:val="9"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link w:val="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link w:val="81"/>
    <w:uiPriority w:val="9"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link w:val="91"/>
    <w:uiPriority w:val="9"/>
    <w:rPr>
      <w:rFonts w:ascii="Arial" w:hAnsi="Arial" w:eastAsia="Arial" w:cs="Arial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pPr>
      <w:ind w:firstLine="709"/>
    </w:pPr>
    <w:rPr>
      <w:sz w:val="26"/>
      <w:lang w:eastAsia="ru-RU" w:bidi="ar-SA"/>
    </w:rPr>
  </w:style>
  <w:style w:type="paragraph" w:styleId="Title">
    <w:name w:val="Title"/>
    <w:link w:val="a0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a0" w:customStyle="1">
    <w:name w:val="Заголовок Знак"/>
    <w:link w:val="Title"/>
    <w:uiPriority w:val="10"/>
    <w:rPr>
      <w:sz w:val="48"/>
      <w:szCs w:val="48"/>
    </w:rPr>
  </w:style>
  <w:style w:type="paragraph" w:styleId="Subtitle">
    <w:name w:val="Subtitle"/>
    <w:link w:val="a1"/>
    <w:uiPriority w:val="11"/>
    <w:qFormat/>
    <w:pP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</w:rPr>
  </w:style>
  <w:style w:type="paragraph" w:styleId="Quote">
    <w:name w:val="Quote"/>
    <w:link w:val="2"/>
    <w:uiPriority w:val="29"/>
    <w:qFormat/>
    <w:pPr>
      <w:ind w:left="720" w:right="720"/>
    </w:pPr>
    <w:rPr>
      <w:i/>
    </w:rPr>
  </w:style>
  <w:style w:type="character" w:styleId="2" w:customStyle="1">
    <w:name w:val="Цитата 2 Знак"/>
    <w:link w:val="Quote"/>
    <w:uiPriority w:val="29"/>
    <w:rPr>
      <w:i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</w:rPr>
  </w:style>
  <w:style w:type="paragraph" w:styleId="1" w:customStyle="1">
    <w:name w:val="Верхний колонтитул1"/>
    <w:basedOn w:val="Normal"/>
    <w:link w:val="a1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styleId="HeaderChar" w:customStyle="1">
    <w:name w:val="Header Char"/>
    <w:uiPriority w:val="99"/>
  </w:style>
  <w:style w:type="paragraph" w:styleId="10" w:customStyle="1">
    <w:name w:val="Нижний колонтитул1"/>
    <w:basedOn w:val="Normal"/>
    <w:link w:val="a3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10"/>
    <w:uiPriority w:val="99"/>
  </w:style>
  <w:style w:type="table" w:styleId="TableGrid">
    <w:name w:val="Table Grid"/>
    <w:basedOn w:val="TableNormal"/>
    <w:uiPriority w:val="59"/>
    <w:tblPr/>
  </w:style>
  <w:style w:type="table" w:styleId="TableGridLight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0" w:customStyle="1">
    <w:name w:val="Таблица простая 11_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/>
      </w:tcPr>
    </w:tblStylePr>
    <w:tblStylePr w:type="band1Vert">
      <w:tcPr>
        <w:shd w:val="clear" w:color="auto" w:fill="fffff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100" w:customStyle="1">
    <w:name w:val="Таблица простая 21_0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3100" w:customStyle="1">
    <w:name w:val="Таблица простая 31_0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100" w:customStyle="1">
    <w:name w:val="Таблица простая 41_0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0" w:customStyle="1">
    <w:name w:val="Таблица простая 51_0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auto" w:fill="ffffff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auto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auto" w:fill="ffffff"/>
      </w:tcPr>
    </w:tblStylePr>
  </w:style>
  <w:style w:type="table" w:styleId="-1100" w:customStyle="1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2100" w:customStyle="1">
    <w:name w:val="Таблица-сетка 21_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5D8AC2" w:themeColor="accent1" w:themeTint="EA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D99695" w:themeColor="accent2" w:themeTint="97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9ABB59" w:themeColor="accent3" w:themeTint="FE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B2A1C6" w:themeColor="accent4" w:themeTint="9A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4BACC6" w:themeColor="accent5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F79646" w:themeColor="accent6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-3100" w:customStyle="1">
    <w:name w:val="Таблица-сетка 31_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-4100" w:customStyle="1">
    <w:name w:val="Таблица-сетка 41_0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auto" w:fill="5d8ac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auto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auto" w:fill="9a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auto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auto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auto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-5100" w:customStyle="1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/>
      </w:tcPr>
    </w:tblStylePr>
    <w:tblStylePr w:type="band1Vert">
      <w:tcPr>
        <w:shd w:val="clear" w:color="auto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000000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/>
      </w:tcPr>
    </w:tblStylePr>
    <w:tblStylePr w:type="band1Vert">
      <w:tcPr>
        <w:shd w:val="clear" w:color="auto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4f81bd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/>
      </w:tcPr>
    </w:tblStylePr>
    <w:tblStylePr w:type="band1Vert">
      <w:tcPr>
        <w:shd w:val="clear" w:color="auto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c0504d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/>
      </w:tcPr>
    </w:tblStylePr>
    <w:tblStylePr w:type="band1Vert">
      <w:tcPr>
        <w:shd w:val="clear" w:color="auto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9bbb59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/>
      </w:tcPr>
    </w:tblStylePr>
    <w:tblStylePr w:type="band1Vert">
      <w:tcPr>
        <w:shd w:val="clear" w:color="auto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8064a2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/>
      </w:tcPr>
    </w:tblStylePr>
    <w:tblStylePr w:type="band1Vert">
      <w:tcPr>
        <w:shd w:val="clear" w:color="auto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4bacc6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/>
      </w:tcPr>
    </w:tblStylePr>
    <w:tblStylePr w:type="band1Vert">
      <w:tcPr>
        <w:shd w:val="clear" w:color="auto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f79646"/>
      </w:tcPr>
    </w:tblStylePr>
  </w:style>
  <w:style w:type="table" w:styleId="-6100" w:customStyle="1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/>
      </w:tcPr>
    </w:tblStylePr>
    <w:tblStylePr w:type="band1Vert"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/>
      </w:tcPr>
    </w:tblStylePr>
    <w:tblStylePr w:type="band1Vert"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/>
      </w:tcPr>
    </w:tblStylePr>
    <w:tblStylePr w:type="band1Vert"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/>
      </w:tcPr>
    </w:tblStylePr>
    <w:tblStylePr w:type="band1Vert"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/>
      </w:tcPr>
    </w:tblStylePr>
    <w:tblStylePr w:type="band1Vert"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/>
      </w:tcPr>
    </w:tblStylePr>
    <w:tblStylePr w:type="band1Vert"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/>
      </w:tcPr>
    </w:tblStylePr>
    <w:tblStylePr w:type="band1Vert"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-7100" w:customStyle="1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/>
      </w:tcPr>
    </w:tblStylePr>
    <w:tblStylePr w:type="band1Vert"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/>
      </w:tcPr>
    </w:tblStylePr>
    <w:tblStylePr w:type="band1Vert"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A6BFDD" w:themeColor="accent1" w:themeTint="8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none"/>
          <w:left w:val="none"/>
          <w:bottom w:val="single" w:color="A6BFDD" w:themeColor="accen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tcBorders>
          <w:top w:val="none"/>
          <w:left w:val="single" w:color="A6BFDD" w:themeColor="accen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/>
      </w:tcPr>
    </w:tblStylePr>
    <w:tblStylePr w:type="band1Vert"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D99695" w:themeColor="accent2" w:themeTint="97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none"/>
          <w:left w:val="none"/>
          <w:bottom w:val="single" w:color="D99695" w:themeColor="accent2" w:themeTint="97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/>
          <w:left w:val="single" w:color="D99695" w:themeColor="accent2" w:themeTint="97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/>
      </w:tcPr>
    </w:tblStylePr>
    <w:tblStylePr w:type="band1Vert"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9ABB59" w:themeColor="accent3" w:themeTint="FE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none"/>
          <w:left w:val="none"/>
          <w:bottom w:val="single" w:color="9ABB59" w:themeColor="accent3" w:themeTint="FE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tcBorders>
          <w:top w:val="none"/>
          <w:left w:val="single" w:color="9ABB59" w:themeColor="accent3" w:themeTint="FE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/>
      </w:tcPr>
    </w:tblStylePr>
    <w:tblStylePr w:type="band1Vert"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B2A1C6" w:themeColor="accent4" w:themeTint="9A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none"/>
          <w:left w:val="none"/>
          <w:bottom w:val="single" w:color="B2A1C6" w:themeColor="accent4" w:themeTint="9A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/>
          <w:left w:val="single" w:color="B2A1C6" w:themeColor="accent4" w:themeTint="9A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/>
      </w:tcPr>
    </w:tblStylePr>
    <w:tblStylePr w:type="band1Vert"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99D0DE" w:themeColor="accent5" w:themeTint="9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one"/>
          <w:left w:val="none"/>
          <w:bottom w:val="single" w:color="99D0DE" w:themeColor="accent5" w:themeTint="9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one"/>
          <w:left w:val="single" w:color="99D0DE" w:themeColor="accent5" w:themeTint="9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/>
      </w:tcPr>
    </w:tblStylePr>
    <w:tblStylePr w:type="band1Vert"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FAC396" w:themeColor="accent6" w:themeTint="9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one"/>
          <w:left w:val="none"/>
          <w:bottom w:val="single" w:color="FAC396" w:themeColor="accent6" w:themeTint="9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one"/>
          <w:left w:val="single" w:color="FAC396" w:themeColor="accent6" w:themeTint="9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-1101" w:customStyle="1">
    <w:name w:val="Список-таблица 1 светлая1_0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/>
      </w:tcPr>
    </w:tblStylePr>
    <w:tblStylePr w:type="band1Vert">
      <w:tcPr>
        <w:shd w:val="clear" w:color="auto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4F81BD" w:themeColor="accen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/>
          <w:bottom w:val="none"/>
          <w:right w:val="none"/>
        </w:tcBorders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/>
      </w:tcPr>
    </w:tblStylePr>
    <w:tblStylePr w:type="band1Vert">
      <w:tcPr>
        <w:shd w:val="clear" w:color="auto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C0504D" w:themeColor="accent2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/>
          <w:bottom w:val="none"/>
          <w:right w:val="none"/>
        </w:tcBorders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/>
      </w:tcPr>
    </w:tblStylePr>
    <w:tblStylePr w:type="band1Vert">
      <w:tcPr>
        <w:shd w:val="clear" w:color="auto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9BBB59" w:themeColor="accent3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/>
          <w:bottom w:val="none"/>
          <w:right w:val="none"/>
        </w:tcBorders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/>
      </w:tcPr>
    </w:tblStylePr>
    <w:tblStylePr w:type="band1Vert">
      <w:tcPr>
        <w:shd w:val="clear" w:color="auto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8064A2" w:themeColor="accent4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/>
          <w:bottom w:val="none"/>
          <w:right w:val="none"/>
        </w:tcBorders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/>
      </w:tcPr>
    </w:tblStylePr>
    <w:tblStylePr w:type="band1Vert">
      <w:tcPr>
        <w:shd w:val="clear" w:color="auto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4BACC6" w:themeColor="accent5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/>
          <w:bottom w:val="none"/>
          <w:right w:val="none"/>
        </w:tcBorders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/>
      </w:tcPr>
    </w:tblStylePr>
    <w:tblStylePr w:type="band1Vert">
      <w:tcPr>
        <w:shd w:val="clear" w:color="auto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F79646" w:themeColor="accent6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/>
          <w:bottom w:val="none"/>
          <w:right w:val="none"/>
        </w:tcBorders>
      </w:tcPr>
    </w:tblStylePr>
  </w:style>
  <w:style w:type="table" w:styleId="-2101" w:customStyle="1">
    <w:name w:val="Список-таблица 21_0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/>
          <w:bottom w:val="single" w:color="9BB7D9" w:themeColor="accen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/>
          <w:bottom w:val="single" w:color="9BB7D9" w:themeColor="accent1" w:themeTint="90" w:sz="4" w:space="0"/>
          <w:right w:val="none"/>
        </w:tcBorders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/>
          <w:bottom w:val="single" w:color="DB9B9A" w:themeColor="accent2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/>
          <w:bottom w:val="single" w:color="DB9B9A" w:themeColor="accent2" w:themeTint="90" w:sz="4" w:space="0"/>
          <w:right w:val="none"/>
        </w:tcBorders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/>
          <w:bottom w:val="single" w:color="C6D8A1" w:themeColor="accent3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/>
          <w:bottom w:val="single" w:color="C6D8A1" w:themeColor="accent3" w:themeTint="90" w:sz="4" w:space="0"/>
          <w:right w:val="none"/>
        </w:tcBorders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/>
          <w:bottom w:val="single" w:color="B7A7CA" w:themeColor="accent4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/>
          <w:bottom w:val="single" w:color="B7A7CA" w:themeColor="accent4" w:themeTint="90" w:sz="4" w:space="0"/>
          <w:right w:val="none"/>
        </w:tcBorders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/>
          <w:bottom w:val="single" w:color="99D0DE" w:themeColor="accent5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/>
          <w:bottom w:val="single" w:color="99D0DE" w:themeColor="accent5" w:themeTint="90" w:sz="4" w:space="0"/>
          <w:right w:val="none"/>
        </w:tcBorders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/>
          <w:bottom w:val="single" w:color="FAC396" w:themeColor="accent6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/>
          <w:bottom w:val="single" w:color="FAC396" w:themeColor="accent6" w:themeTint="90" w:sz="4" w:space="0"/>
          <w:right w:val="none"/>
        </w:tcBorders>
      </w:tcPr>
    </w:tblStylePr>
  </w:style>
  <w:style w:type="table" w:styleId="-3101" w:customStyle="1">
    <w:name w:val="Список-таблица 31_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4101" w:customStyle="1">
    <w:name w:val="Список-таблица 41_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5101" w:customStyle="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f7f7f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7f7f7f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f7f7f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auto" w:fill="7f7f7f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4f81bd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4f81bd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4f81bd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auto" w:fill="4f81bd"/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d99695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d99695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d99695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auto" w:fill="d99695"/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c3d69b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c3d69b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c3d69b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auto" w:fill="c3d69b"/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b2a1c6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b2a1c6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b2a1c6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auto" w:fill="b2a1c6"/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92ccdc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92ccdc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92ccdc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auto" w:fill="92ccdc"/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fac09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fac09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fac09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auto" w:fill="fac090"/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-6101" w:customStyle="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/>
      </w:tcPr>
    </w:tblStylePr>
    <w:tblStylePr w:type="band1Vert"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/>
      </w:tcPr>
    </w:tblStylePr>
    <w:tblStylePr w:type="band1Vert"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/>
      </w:tcPr>
    </w:tblStylePr>
    <w:tblStylePr w:type="band1Vert"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/>
      </w:tcPr>
    </w:tblStylePr>
    <w:tblStylePr w:type="band1Vert"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/>
      </w:tcPr>
    </w:tblStylePr>
    <w:tblStylePr w:type="band1Vert"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/>
      </w:tcPr>
    </w:tblStylePr>
    <w:tblStylePr w:type="band1Vert"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-7101" w:customStyle="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/>
      </w:tcPr>
    </w:tblStylePr>
    <w:tblStylePr w:type="band1Vert"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4F81BD" w:themeColor="accent1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tcBorders>
          <w:top w:val="none"/>
          <w:left w:val="none"/>
          <w:bottom w:val="single" w:color="4F81BD" w:themeColor="accent1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tcBorders>
          <w:top w:val="none"/>
          <w:left w:val="single" w:color="4F81BD" w:themeColor="accent1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/>
      </w:tcPr>
    </w:tblStylePr>
    <w:tblStylePr w:type="band1Vert"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D99695" w:themeColor="accent2" w:themeTint="97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/>
          <w:left w:val="none"/>
          <w:bottom w:val="single" w:color="D99695" w:themeColor="accent2" w:themeTint="97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/>
          <w:left w:val="single" w:color="D99695" w:themeColor="accent2" w:themeTint="97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/>
      </w:tcPr>
    </w:tblStylePr>
    <w:tblStylePr w:type="band1Vert"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C3D69B" w:themeColor="accent3" w:themeTint="98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/>
          <w:left w:val="none"/>
          <w:bottom w:val="single" w:color="C3D69B" w:themeColor="accent3" w:themeTint="98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/>
          <w:left w:val="single" w:color="C3D69B" w:themeColor="accent3" w:themeTint="98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/>
      </w:tcPr>
    </w:tblStylePr>
    <w:tblStylePr w:type="band1Vert"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B2A1C6" w:themeColor="accent4" w:themeTint="9A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/>
          <w:left w:val="none"/>
          <w:bottom w:val="single" w:color="B2A1C6" w:themeColor="accent4" w:themeTint="9A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/>
          <w:left w:val="single" w:color="B2A1C6" w:themeColor="accent4" w:themeTint="9A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/>
      </w:tcPr>
    </w:tblStylePr>
    <w:tblStylePr w:type="band1Vert"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92CCDC" w:themeColor="accent5" w:themeTint="9A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/>
          <w:left w:val="none"/>
          <w:bottom w:val="single" w:color="92CCDC" w:themeColor="accent5" w:themeTint="9A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/>
          <w:left w:val="single" w:color="92CCDC" w:themeColor="accent5" w:themeTint="9A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/>
      </w:tcPr>
    </w:tblStylePr>
    <w:tblStylePr w:type="band1Vert"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FAC090" w:themeColor="accent6" w:themeTint="98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/>
          <w:left w:val="none"/>
          <w:bottom w:val="single" w:color="FAC090" w:themeColor="accent6" w:themeTint="98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/>
          <w:left w:val="single" w:color="FAC090" w:themeColor="accent6" w:themeTint="98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ned-Accent" w:customStyle="1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Lined-Accent1" w:customStyle="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/>
      </w:tcPr>
    </w:tblStylePr>
  </w:style>
  <w:style w:type="table" w:styleId="Lined-Accent2" w:customStyle="1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/>
      </w:tcPr>
    </w:tblStylePr>
  </w:style>
  <w:style w:type="table" w:styleId="Lined-Accent3" w:customStyle="1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/>
      </w:tcPr>
    </w:tblStylePr>
  </w:style>
  <w:style w:type="table" w:styleId="Lined-Accent4" w:customStyle="1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/>
      </w:tcPr>
    </w:tblStylePr>
  </w:style>
  <w:style w:type="table" w:styleId="Lined-Accent5" w:customStyle="1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Lined-Accent6" w:customStyle="1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BorderedLined-Accent" w:customStyle="1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BorderedLined-Accent1" w:customStyle="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/>
      </w:tcPr>
    </w:tblStylePr>
  </w:style>
  <w:style w:type="table" w:styleId="BorderedLined-Accent2" w:customStyle="1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/>
      </w:tcPr>
    </w:tblStylePr>
  </w:style>
  <w:style w:type="table" w:styleId="BorderedLined-Accent3" w:customStyle="1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/>
      </w:tcPr>
    </w:tblStylePr>
  </w:style>
  <w:style w:type="table" w:styleId="BorderedLined-Accent4" w:customStyle="1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/>
      </w:tcPr>
    </w:tblStylePr>
  </w:style>
  <w:style w:type="table" w:styleId="BorderedLined-Accent5" w:customStyle="1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BorderedLined-Accent6" w:customStyle="1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Hyperlink">
    <w:name w:val="Hyperlink"/>
    <w:uiPriority w:val="99"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spacing w:after="57"/>
    </w:pPr>
  </w:style>
  <w:style w:type="paragraph" w:styleId="TOC2">
    <w:name w:val="toc 2"/>
    <w:uiPriority w:val="39"/>
    <w:unhideWhenUsed/>
    <w:pPr>
      <w:spacing w:after="57"/>
      <w:ind w:left="283"/>
    </w:pPr>
  </w:style>
  <w:style w:type="paragraph" w:styleId="TOC3">
    <w:name w:val="toc 3"/>
    <w:uiPriority w:val="39"/>
    <w:unhideWhenUsed/>
    <w:pPr>
      <w:spacing w:after="57"/>
      <w:ind w:left="567"/>
    </w:pPr>
  </w:style>
  <w:style w:type="paragraph" w:styleId="TOC4">
    <w:name w:val="toc 4"/>
    <w:uiPriority w:val="39"/>
    <w:unhideWhenUsed/>
    <w:pPr>
      <w:spacing w:after="57"/>
      <w:ind w:left="850"/>
    </w:pPr>
  </w:style>
  <w:style w:type="paragraph" w:styleId="TOC5">
    <w:name w:val="toc 5"/>
    <w:uiPriority w:val="39"/>
    <w:unhideWhenUsed/>
    <w:pPr>
      <w:spacing w:after="57"/>
      <w:ind w:left="1134"/>
    </w:pPr>
  </w:style>
  <w:style w:type="paragraph" w:styleId="TOC6">
    <w:name w:val="toc 6"/>
    <w:uiPriority w:val="39"/>
    <w:unhideWhenUsed/>
    <w:pPr>
      <w:spacing w:after="57"/>
      <w:ind w:left="1417"/>
    </w:pPr>
  </w:style>
  <w:style w:type="paragraph" w:styleId="TOC7">
    <w:name w:val="toc 7"/>
    <w:uiPriority w:val="39"/>
    <w:unhideWhenUsed/>
    <w:pPr>
      <w:spacing w:after="57"/>
      <w:ind w:left="1701"/>
    </w:pPr>
  </w:style>
  <w:style w:type="paragraph" w:styleId="TOC8">
    <w:name w:val="toc 8"/>
    <w:uiPriority w:val="39"/>
    <w:unhideWhenUsed/>
    <w:pPr>
      <w:spacing w:after="57"/>
      <w:ind w:left="1984"/>
    </w:pPr>
  </w:style>
  <w:style w:type="paragraph" w:styleId="TOC9">
    <w:name w:val="toc 9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uiPriority w:val="35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table" w:styleId="12" w:customStyle="1">
    <w:name w:val="Сетка таблицы1"/>
    <w:basedOn w:val="TableNormal"/>
    <w:next w:val="TableGrid"/>
    <w:rPr>
      <w:rFonts w:ascii="Calibri" w:hAnsi="Calibri"/>
    </w:rPr>
    <w:tblPr/>
  </w:style>
  <w:style w:type="paragraph" w:styleId="ConsPlusNormal" w:customStyle="1">
    <w:name w:val="ConsPlusNormal"/>
    <w:uiPriority w:val="99"/>
    <w:rPr>
      <w:sz w:val="24"/>
      <w:szCs w:val="24"/>
      <w:lang w:eastAsia="ru-RU" w:bidi="ar-SA"/>
    </w:rPr>
  </w:style>
  <w:style w:type="character" w:styleId="a8" w:customStyle="1">
    <w:name w:val="Основной текст_"/>
    <w:link w:val="20"/>
    <w:rPr>
      <w:spacing w:val="-2"/>
      <w:sz w:val="26"/>
      <w:szCs w:val="26"/>
      <w:shd w:val="clear" w:color="auto" w:fill="ffffff"/>
    </w:rPr>
  </w:style>
  <w:style w:type="character" w:styleId="70" w:customStyle="1">
    <w:name w:val="Основной текст (7)_"/>
    <w:link w:val="72"/>
    <w:rPr>
      <w:b/>
      <w:bCs/>
      <w:spacing w:val="-3"/>
      <w:sz w:val="26"/>
      <w:szCs w:val="26"/>
      <w:shd w:val="clear" w:color="auto" w:fill="ffffff"/>
    </w:rPr>
  </w:style>
  <w:style w:type="character" w:styleId="100" w:customStyle="1">
    <w:name w:val="Основной текст (10)_"/>
    <w:link w:val="101"/>
    <w:rPr>
      <w:i/>
      <w:iCs/>
      <w:spacing w:val="-4"/>
      <w:shd w:val="clear" w:color="auto" w:fill="ffffff"/>
    </w:rPr>
  </w:style>
  <w:style w:type="paragraph" w:styleId="20" w:customStyle="1">
    <w:name w:val="Основной текст2"/>
    <w:basedOn w:val="Normal"/>
    <w:link w:val="a8"/>
    <w:pPr>
      <w:widowControl w:val="off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styleId="72" w:customStyle="1">
    <w:name w:val="Основной текст (7)"/>
    <w:basedOn w:val="Normal"/>
    <w:link w:val="70"/>
    <w:pPr>
      <w:widowControl w:val="off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styleId="101" w:customStyle="1">
    <w:name w:val="Основной текст (10)"/>
    <w:basedOn w:val="Normal"/>
    <w:link w:val="100"/>
    <w:pPr>
      <w:widowControl w:val="off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13" w:customStyle="1">
    <w:name w:val="Знак Знак Знак Знак Знак Знак Знак Знак Знак Знак Знак Знак Знак Знак Знак1 Знак Знак Знак Знак"/>
    <w:basedOn w:val="Normal"/>
    <w:next w:val="21"/>
    <w:pPr>
      <w:spacing w:after="160" w:line="240" w:lineRule="exact"/>
    </w:pPr>
    <w:rPr>
      <w:sz w:val="24"/>
      <w:lang w:val="en-US"/>
    </w:rPr>
  </w:style>
  <w:style w:type="paragraph" w:styleId="ConsPlusTitle" w:customStyle="1">
    <w:name w:val="ConsPlusTitle"/>
    <w:pPr>
      <w:widowControl w:val="off"/>
    </w:pPr>
    <w:rPr>
      <w:b/>
      <w:bCs/>
      <w:sz w:val="24"/>
      <w:szCs w:val="24"/>
      <w:lang w:eastAsia="ru-RU" w:bidi="ar-SA"/>
    </w:rPr>
  </w:style>
  <w:style w:type="character" w:styleId="22" w:customStyle="1">
    <w:name w:val="Заголовок 2 Знак"/>
    <w:link w:val="21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a9" w:customStyle="1">
    <w:name w:val="Исполнитель"/>
    <w:basedOn w:val="Normal"/>
  </w:style>
  <w:style w:type="character" w:styleId="14" w:customStyle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styleId="15" w:customStyle="1">
    <w:name w:val="Обычный1"/>
    <w:rPr>
      <w:lang w:eastAsia="ru-RU" w:bidi="ar-SA"/>
    </w:rPr>
  </w:style>
  <w:style w:type="character" w:styleId="a10" w:customStyle="1">
    <w:name w:val="Верхний колонтитул Знак"/>
    <w:link w:val="1"/>
    <w:uiPriority w:val="99"/>
    <w:rPr>
      <w:b/>
      <w:caps/>
      <w:sz w:val="28"/>
    </w:rPr>
  </w:style>
  <w:style w:type="paragraph" w:styleId="Default" w:customStyle="1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styleId="60" w:customStyle="1">
    <w:name w:val="Основной текст (6)_"/>
    <w:link w:val="62"/>
    <w:rPr>
      <w:b/>
      <w:bCs/>
      <w:i/>
      <w:iCs/>
      <w:sz w:val="26"/>
      <w:szCs w:val="26"/>
      <w:shd w:val="clear" w:color="auto" w:fill="ffffff"/>
    </w:rPr>
  </w:style>
  <w:style w:type="paragraph" w:styleId="62" w:customStyle="1">
    <w:name w:val="Основной текст (6)"/>
    <w:basedOn w:val="Normal"/>
    <w:link w:val="60"/>
    <w:pPr>
      <w:widowControl w:val="off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styleId="6Tahoma12pt1pt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BalloonText">
    <w:name w:val="Balloon Text"/>
    <w:basedOn w:val="Normal"/>
    <w:link w:val="a11"/>
    <w:rPr>
      <w:rFonts w:ascii="Tahoma" w:hAnsi="Tahoma"/>
      <w:sz w:val="16"/>
      <w:szCs w:val="16"/>
      <w:lang w:val="en-US"/>
    </w:rPr>
  </w:style>
  <w:style w:type="character" w:styleId="a11" w:customStyle="1">
    <w:name w:val="Текст выноски Знак"/>
    <w:link w:val="BalloonText"/>
    <w:rPr>
      <w:rFonts w:ascii="Tahoma" w:hAnsi="Tahoma"/>
      <w:sz w:val="16"/>
      <w:szCs w:val="16"/>
    </w:rPr>
  </w:style>
  <w:style w:type="character" w:styleId="FontStyle21" w:customStyle="1">
    <w:name w:val="Font Style21"/>
    <w:basedOn w:val="DefaultParagraphFont"/>
    <w:rPr>
      <w:rFonts w:ascii="Times New Roman" w:hAnsi="Times New Roman"/>
      <w:sz w:val="26"/>
      <w:szCs w:val="26"/>
    </w:rPr>
  </w:style>
  <w:style w:type="character" w:styleId="Strong">
    <w:name w:val="Strong"/>
    <w:rPr>
      <w:b/>
    </w:rPr>
  </w:style>
  <w:style w:type="paragraph" w:styleId="50" w:customStyle="1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BodyTextIndent2">
    <w:name w:val="Body Text Indent 2"/>
    <w:pPr>
      <w:ind w:firstLine="720"/>
      <w:jc w:val="both"/>
    </w:pPr>
    <w:rPr>
      <w:sz w:val="28"/>
      <w:lang w:eastAsia="ru-RU" w:bidi="ar-SA"/>
    </w:rPr>
  </w:style>
  <w:style w:type="paragraph" w:styleId="16" w:customStyle="1">
    <w:name w:val="Абзац списка1"/>
    <w:pPr>
      <w:pBdr>
        <w:top w:val="none"/>
        <w:left w:val="none"/>
        <w:bottom w:val="none"/>
        <w:right w:val="none"/>
        <w:between w:val="none"/>
      </w:pBdr>
      <w:spacing w:after="200" w:line="276" w:lineRule="auto"/>
      <w:ind w:left="720"/>
      <w:contextualSpacing/>
    </w:pPr>
    <w:rPr>
      <w:rFonts w:ascii="Calibri" w:hAnsi="Calibri" w:eastAsia="Calibri"/>
      <w:lang w:bidi="ar-SA"/>
    </w:rPr>
  </w:style>
  <w:style w:type="paragraph" w:styleId="17" w:customStyle="1">
    <w:name w:val="Без интервала1"/>
    <w:uiPriority w:val="99"/>
    <w:pPr>
      <w:pBdr>
        <w:top w:val="none"/>
        <w:left w:val="none"/>
        <w:bottom w:val="none"/>
        <w:right w:val="none"/>
        <w:between w:val="none"/>
      </w:pBdr>
    </w:pPr>
    <w:rPr>
      <w:rFonts w:ascii="Calibri" w:hAnsi="Calibri"/>
      <w:lang w:bidi="ar-SA"/>
    </w:rPr>
  </w:style>
  <w:style w:type="paragraph" w:styleId="102" w:customStyle="1">
    <w:name w:val="Без интервала1_0"/>
    <w:uiPriority w:val="99"/>
    <w:pPr>
      <w:pBdr>
        <w:top w:val="none"/>
        <w:left w:val="none"/>
        <w:bottom w:val="none"/>
        <w:right w:val="none"/>
        <w:between w:val="none"/>
      </w:pBdr>
    </w:pPr>
    <w:rPr>
      <w:rFonts w:ascii="Calibri" w:hAnsi="Calibri"/>
      <w:lang w:bidi="ar-SA"/>
    </w:rPr>
  </w:style>
  <w:style w:type="paragraph" w:styleId="ConsPlusCell" w:customStyle="1">
    <w:name w:val="ConsPlusCell"/>
    <w:uiPriority w:val="99"/>
    <w:pPr>
      <w:widowControl w:val="off"/>
      <w:pBdr>
        <w:top w:val="none"/>
        <w:left w:val="none"/>
        <w:bottom w:val="none"/>
        <w:right w:val="none"/>
        <w:between w:val="none"/>
      </w:pBdr>
    </w:pPr>
    <w:rPr>
      <w:rFonts w:ascii="Arial" w:hAnsi="Arial" w:eastAsia="Calibri" w:cs="Arial"/>
      <w:sz w:val="20"/>
      <w:szCs w:val="20"/>
      <w:lang w:eastAsia="ru-RU" w:bidi="ar-SA"/>
    </w:rPr>
  </w:style>
  <w:style w:type="paragraph" w:styleId="a12" w:customStyle="1">
    <w:name w:val="Базовый"/>
    <w:uiPriority w:val="99"/>
    <w:pPr>
      <w:pBdr>
        <w:top w:val="none"/>
        <w:left w:val="none"/>
        <w:bottom w:val="none"/>
        <w:right w:val="none"/>
        <w:between w:val="none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Emphasis">
    <w:name w:val="Emphasis"/>
    <w:uiPriority w:val="99"/>
    <w:rPr>
      <w:rFonts w:cs="Times New Roman"/>
      <w:i/>
    </w:rPr>
  </w:style>
  <w:style w:type="paragraph" w:styleId="Footer">
    <w:name w:val="footer"/>
    <w:basedOn w:val="Normal"/>
    <w:link w:val="18"/>
    <w:uiPriority w:val="99"/>
    <w:unhideWhenUsed/>
    <w:pPr>
      <w:tabs>
        <w:tab w:val="center" w:pos="4677"/>
        <w:tab w:val="right" w:pos="9355"/>
      </w:tabs>
    </w:pPr>
  </w:style>
  <w:style w:type="character" w:styleId="18" w:customStyle="1">
    <w:name w:val="Нижний колонтитул Знак1"/>
    <w:basedOn w:val="DefaultParagraphFont"/>
    <w:link w:val="Footer"/>
    <w:uiPriority w:val="99"/>
  </w:style>
  <w:style w:type="paragraph" w:styleId="Header">
    <w:name w:val="header"/>
    <w:basedOn w:val="Normal"/>
    <w:link w:val="19"/>
    <w:uiPriority w:val="99"/>
    <w:unhideWhenUsed/>
    <w:pPr>
      <w:tabs>
        <w:tab w:val="center" w:pos="4677"/>
        <w:tab w:val="right" w:pos="9355"/>
      </w:tabs>
    </w:pPr>
  </w:style>
  <w:style w:type="character" w:styleId="19" w:customStyle="1">
    <w:name w:val="Верхний колонтитул Знак1"/>
    <w:basedOn w:val="DefaultParagraphFont"/>
    <w:link w:val="Header"/>
    <w:uiPriority w:val="99"/>
  </w:style>
  <w:style w:type="paragraph" w:styleId="BodyTextIndent">
    <w:name w:val="Body Text Indent"/>
    <w:basedOn w:val="Normal"/>
    <w:link w:val="a13"/>
    <w:pPr>
      <w:spacing w:after="120"/>
      <w:ind w:left="283" w:firstLine="709"/>
    </w:pPr>
    <w:rPr>
      <w:sz w:val="26"/>
      <w:szCs w:val="20"/>
      <w:lang w:eastAsia="ru-RU" w:bidi="ar-SA"/>
    </w:rPr>
  </w:style>
  <w:style w:type="character" w:styleId="a13" w:customStyle="1">
    <w:name w:val="Основной текст с отступом Знак"/>
    <w:basedOn w:val="DefaultParagraphFont"/>
    <w:link w:val="BodyTextIndent"/>
    <w:rPr>
      <w:sz w:val="26"/>
      <w:szCs w:val="20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hyperlink" Target="https://login.consultant.ru/link/?req=doc&amp;amp;amp;amp;base=LAW&amp;amp;amp;amp;n=512852&amp;amp;amp;amp;dst=793" TargetMode="External"/><Relationship Id="rId14" Type="http://schemas.openxmlformats.org/officeDocument/2006/relationships/hyperlink" Target="https://login.consultant.ru/link/?req=doc&amp;amp;amp;amp;base=LAW&amp;amp;amp;amp;n=512852&amp;amp;amp;amp;dst=717" TargetMode="External"/><Relationship Id="rId15" Type="http://schemas.openxmlformats.org/officeDocument/2006/relationships/image" Target="media/image2.jpg"/><Relationship Id="rId16" Type="http://schemas.openxmlformats.org/officeDocument/2006/relationships/image" Target="media/image3.png"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E6F51B80-1E35-4492-85D2-DAF6685E46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matveevajs@coocn.tomsk.gov.ru</cp:lastModifiedBy>
  <cp:revision>4</cp:revision>
  <dcterms:created xsi:type="dcterms:W3CDTF">2026-07-15T07:52:00Z</dcterms:created>
  <dcterms:modified xsi:type="dcterms:W3CDTF">2026-09-01T10:19:55Z</dcterms:modified>
</cp:coreProperties>
</file>